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HamSammy's Insert Designer</w:t>
      </w:r>
    </w:p>
    <w:p>
      <w:pPr>
        <w:spacing w:after="120"/>
      </w:pPr>
      <w:r>
        <w:rPr>
          <w:i/>
          <w:iCs/>
          <w:color w:val="555555"/>
        </w:rPr>
        <w:t xml:space="preserve">How to Use It — a walkthrough of every option in the app.</w:t>
      </w:r>
    </w:p>
    <w:p>
      <w:pPr>
        <w:pBdr>
          <w:bottom w:val="single" w:color="AAAAAA" w:sz="6" w:space="1"/>
        </w:pBdr>
        <w:spacing w:after="200"/>
      </w:pPr>
    </w:p>
    <w:p>
      <w:pPr>
        <w:spacing w:after="120"/>
      </w:pPr>
      <w:r>
        <w:t xml:space="preserve">This app builds a custom 3D-printable RC tire insert and exports it as an STL, ready to slice. You pick your wheel/tire fit, tune the internal structure, and it generates the part. Here's a walk-through of every section, top to bottom.</w:t>
      </w:r>
    </w:p>
    <w:p>
      <w:pPr>
        <w:pStyle w:val="Heading2"/>
        <w:spacing w:after="120" w:before="240"/>
      </w:pPr>
      <w:r>
        <w:t xml:space="preserve">Quick Start</w:t>
      </w:r>
    </w:p>
    <w:p>
      <w:pPr>
        <w:pStyle w:val="ListParagraph"/>
        <w:numPr>
          <w:ilvl w:val="0"/>
          <w:numId w:val="1"/>
        </w:numPr>
        <w:spacing w:after="80"/>
      </w:pPr>
      <w:r>
        <w:t xml:space="preserve">Pick a Preset (or start from the defaults)</w:t>
      </w:r>
    </w:p>
    <w:p>
      <w:pPr>
        <w:pStyle w:val="ListParagraph"/>
        <w:numPr>
          <w:ilvl w:val="0"/>
          <w:numId w:val="1"/>
        </w:numPr>
        <w:spacing w:after="80"/>
      </w:pPr>
      <w:r>
        <w:t xml:space="preserve">Confirm Bore diameter with actual calipers — this is the one number that has to be right</w:t>
      </w:r>
    </w:p>
    <w:p>
      <w:pPr>
        <w:pStyle w:val="ListParagraph"/>
        <w:numPr>
          <w:ilvl w:val="0"/>
          <w:numId w:val="1"/>
        </w:numPr>
        <w:spacing w:after="80"/>
      </w:pPr>
      <w:r>
        <w:t xml:space="preserve">Tweak sidewall, pattern, and material to taste</w:t>
      </w:r>
    </w:p>
    <w:p>
      <w:pPr>
        <w:pStyle w:val="ListParagraph"/>
        <w:numPr>
          <w:ilvl w:val="0"/>
          <w:numId w:val="1"/>
        </w:numPr>
        <w:spacing w:after="80"/>
      </w:pPr>
      <w:r>
        <w:t xml:space="preserve">Export, slice, print</w:t>
      </w:r>
    </w:p>
    <w:p>
      <w:pPr>
        <w:spacing w:after="120"/>
      </w:pPr>
      <w:r>
        <w:t xml:space="preserve">If you only change one thing today, make it wall thickness — it's the single biggest lever for softness (see Material &amp; Printing below).</w:t>
      </w:r>
    </w:p>
    <w:p>
      <w:pPr>
        <w:spacing w:after="120"/>
      </w:pPr>
      <w:r>
        <w:rPr>
          <w:b/>
          <w:bCs/>
        </w:rPr>
        <w:t xml:space="preserve">Companion guides</w:t>
      </w:r>
      <w:r>
        <w:t xml:space="preserve"> (in the guides folder, and in the app’s Guide panel):</w:t>
      </w:r>
    </w:p>
    <w:p>
      <w:pPr>
        <w:pStyle w:val="ListParagraph"/>
        <w:numPr>
          <w:ilvl w:val="0"/>
          <w:numId w:val="1"/>
        </w:numPr>
        <w:spacing w:after="80"/>
      </w:pPr>
      <w:r>
        <w:t xml:space="preserve">Compliant TPU Printing Guide (guides\TPU_Printing_Guide.md) — slicer settings for walls, shells and low-density infill. Where it and the Slicer Settings section below disagree, it wins.</w:t>
      </w:r>
    </w:p>
    <w:p>
      <w:pPr>
        <w:pStyle w:val="ListParagraph"/>
        <w:numPr>
          <w:ilvl w:val="0"/>
          <w:numId w:val="1"/>
        </w:numPr>
        <w:spacing w:after="80"/>
      </w:pPr>
      <w:r>
        <w:t xml:space="preserve">Slicer Preview Check Guide (guides\Slicer_Preview_Check_Guide.md) — five-minute checks in the slicer preview for disconnected pieces before you print.</w:t>
      </w:r>
    </w:p>
    <w:p>
      <w:pPr>
        <w:pStyle w:val="Heading1"/>
        <w:spacing w:after="150" w:before="300"/>
      </w:pPr>
      <w:r>
        <w:t xml:space="preserve">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Tire size</w:t>
            </w:r>
          </w:p>
        </w:tc>
        <w:tc>
          <w:tcPr>
            <w:tcW w:type="dxa" w:w="6960"/>
            <w:tcMar>
              <w:top w:type="dxa" w:w="80"/>
              <w:left w:type="dxa" w:w="120"/>
              <w:bottom w:type="dxa" w:w="80"/>
              <w:right w:type="dxa" w:w="120"/>
            </w:tcMar>
          </w:tcPr>
          <w:p>
            <w:r>
              <w:rPr>
                <w:b w:val="false"/>
                <w:bCs w:val="false"/>
                <w:color w:val="000000"/>
                <w:sz w:val="20"/>
                <w:szCs w:val="20"/>
              </w:rPr>
              <w:t xml:space="preserve">Sets outer diameter and width from a verified reference size. Pick “Custom” to enter your own dimensions — always double check bore with calipers regardless.</w:t>
            </w:r>
          </w:p>
        </w:tc>
      </w:tr>
      <w:tr>
        <w:tc>
          <w:tcPr>
            <w:tcW w:type="dxa" w:w="2400"/>
            <w:tcMar>
              <w:top w:type="dxa" w:w="80"/>
              <w:left w:type="dxa" w:w="120"/>
              <w:bottom w:type="dxa" w:w="80"/>
              <w:right w:type="dxa" w:w="120"/>
            </w:tcMar>
          </w:tcPr>
          <w:p>
            <w:r>
              <w:rPr>
                <w:b w:val="false"/>
                <w:bCs w:val="false"/>
                <w:color w:val="000000"/>
                <w:sz w:val="20"/>
                <w:szCs w:val="20"/>
              </w:rPr>
              <w:t xml:space="preserve">Build character</w:t>
            </w:r>
          </w:p>
        </w:tc>
        <w:tc>
          <w:tcPr>
            <w:tcW w:type="dxa" w:w="6960"/>
            <w:tcMar>
              <w:top w:type="dxa" w:w="80"/>
              <w:left w:type="dxa" w:w="120"/>
              <w:bottom w:type="dxa" w:w="80"/>
              <w:right w:type="dxa" w:w="120"/>
            </w:tcMar>
          </w:tcPr>
          <w:p>
            <w:r>
              <w:rPr>
                <w:b w:val="false"/>
                <w:bCs w:val="false"/>
                <w:color w:val="000000"/>
                <w:sz w:val="20"/>
                <w:szCs w:val="20"/>
              </w:rPr>
              <w:t xml:space="preserve">A bundled preset for sidewall, pattern, radials, and durometer — a design “personality.” The tyre-matched and two-layer presets also set bore, OD and width (plus bore edge and root anchor) and switch Tire size to "custom"; the two Solid presets leave your fit alone. Tread lugs are never touched.</w:t>
            </w:r>
          </w:p>
        </w:tc>
      </w:tr>
    </w:tbl>
    <w:p>
      <w:pPr>
        <w:spacing w:after="120"/>
      </w:pPr>
      <w:r>
        <w:t xml:space="preserve"/>
      </w:r>
    </w:p>
    <w:p>
      <w:pPr>
        <w:spacing w:after="120"/>
      </w:pPr>
      <w:r>
        <w:t xml:space="preserve">The presets come in three groups:</w:t>
      </w:r>
    </w:p>
    <w:p>
      <w:pPr>
        <w:spacing w:after="120"/>
      </w:pPr>
      <w:r>
        <w:rPr>
          <w:b/>
        </w:rPr>
        <w:t xml:space="preserve">Tyre-matched</w:t>
      </w:r>
      <w:r>
        <w:t xml:space="preserve"> — 2.2 C2 UGRC Shield (16 half-circle arcs, 111 × 41mm, 64mm bore), 1.9 C1 Megalithic (17 full-reach ovals, 85A, 110 × 33.5mm, 67.6mm bore) and 2.2 C2 FYR (10 large circles, 100 × 40.5mm, 55.9mm bore). Each reproduces a printed insert: Shield and Megalithic exactly, FYR with its bore chamfer limited to 5.2mm by the 0.8mm face-land floor.</w:t>
      </w:r>
    </w:p>
    <w:p>
      <w:pPr>
        <w:spacing w:after="120"/>
      </w:pPr>
      <w:r>
        <w:rPr>
          <w:b/>
        </w:rPr>
        <w:t xml:space="preserve">Two-layer lattice + solid ring</w:t>
      </w:r>
      <w:r>
        <w:t xml:space="preserve"> — five variations on those fits: Shield with a honeycomb or gyroid core, Megalithic with an auxetic bowtie or chainmail core, FYR with a squares core. A lattice inner row and a sealed outer row for light slicer infill.</w:t>
      </w:r>
    </w:p>
    <w:p>
      <w:pPr>
        <w:spacing w:after="120"/>
      </w:pPr>
      <w:r>
        <w:rPr>
          <w:b/>
        </w:rPr>
        <w:t xml:space="preserve">Solid</w:t>
      </w:r>
      <w:r>
        <w:t xml:space="preserve"> — slicer infill decides / wider hub backbone. One sealed band; print with Wall loops = 0.</w:t>
      </w:r>
    </w:p>
    <w:p>
      <w:pPr>
        <w:spacing w:after="120"/>
      </w:pPr>
      <w:r>
        <w:t xml:space="preserve">Slicer settings for the tyre-matched and two-layer presets: keep 2 wall loops (the lattice ribbons are two beads wide and must print as walls), top and bottom shells 0, gyroid sparse infill around 3.8% (workable 3–10%). The infill only lands in the solid outer ring and the hub band.</w:t>
      </w:r>
    </w:p>
    <w:p>
      <w:pPr>
        <w:pStyle w:val="Heading1"/>
        <w:spacing w:after="150" w:before="300"/>
      </w:pPr>
      <w:r>
        <w:t xml:space="preserve">Wheel &amp; Tire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Bore diameter</w:t>
            </w:r>
          </w:p>
        </w:tc>
        <w:tc>
          <w:tcPr>
            <w:tcW w:type="dxa" w:w="6960"/>
            <w:tcMar>
              <w:top w:type="dxa" w:w="80"/>
              <w:left w:type="dxa" w:w="120"/>
              <w:bottom w:type="dxa" w:w="80"/>
              <w:right w:type="dxa" w:w="120"/>
            </w:tcMar>
          </w:tcPr>
          <w:p>
            <w:r>
              <w:rPr>
                <w:b w:val="false"/>
                <w:bCs w:val="false"/>
                <w:color w:val="000000"/>
                <w:sz w:val="20"/>
                <w:szCs w:val="20"/>
              </w:rPr>
              <w:t xml:space="preserve">The hole in the middle, sized to your beadlock ring — not the raw wheel bore. Always confirm with calipers before printing.</w:t>
            </w:r>
          </w:p>
        </w:tc>
      </w:tr>
      <w:tr>
        <w:tc>
          <w:tcPr>
            <w:tcW w:type="dxa" w:w="2400"/>
            <w:tcMar>
              <w:top w:type="dxa" w:w="80"/>
              <w:left w:type="dxa" w:w="120"/>
              <w:bottom w:type="dxa" w:w="80"/>
              <w:right w:type="dxa" w:w="120"/>
            </w:tcMar>
          </w:tcPr>
          <w:p>
            <w:r>
              <w:rPr>
                <w:b w:val="false"/>
                <w:bCs w:val="false"/>
                <w:color w:val="000000"/>
                <w:sz w:val="20"/>
                <w:szCs w:val="20"/>
              </w:rPr>
              <w:t xml:space="preserve">Outer diameter</w:t>
            </w:r>
          </w:p>
        </w:tc>
        <w:tc>
          <w:tcPr>
            <w:tcW w:type="dxa" w:w="6960"/>
            <w:tcMar>
              <w:top w:type="dxa" w:w="80"/>
              <w:left w:type="dxa" w:w="120"/>
              <w:bottom w:type="dxa" w:w="80"/>
              <w:right w:type="dxa" w:w="120"/>
            </w:tcMar>
          </w:tcPr>
          <w:p>
            <w:r>
              <w:rPr>
                <w:b w:val="false"/>
                <w:bCs w:val="false"/>
                <w:color w:val="000000"/>
                <w:sz w:val="20"/>
                <w:szCs w:val="20"/>
              </w:rPr>
              <w:t xml:space="preserve">Should sit at or just under your tire's inner cavity diameter (not the external tread spec). Oversizing stretches the tire and quietly grows its real OD.</w:t>
            </w:r>
          </w:p>
        </w:tc>
      </w:tr>
      <w:tr>
        <w:tc>
          <w:tcPr>
            <w:tcW w:type="dxa" w:w="2400"/>
            <w:tcMar>
              <w:top w:type="dxa" w:w="80"/>
              <w:left w:type="dxa" w:w="120"/>
              <w:bottom w:type="dxa" w:w="80"/>
              <w:right w:type="dxa" w:w="120"/>
            </w:tcMar>
          </w:tcPr>
          <w:p>
            <w:r>
              <w:rPr>
                <w:b w:val="false"/>
                <w:bCs w:val="false"/>
                <w:color w:val="000000"/>
                <w:sz w:val="20"/>
                <w:szCs w:val="20"/>
              </w:rPr>
              <w:t xml:space="preserve">Width at bore</w:t>
            </w:r>
          </w:p>
        </w:tc>
        <w:tc>
          <w:tcPr>
            <w:tcW w:type="dxa" w:w="6960"/>
            <w:tcMar>
              <w:top w:type="dxa" w:w="80"/>
              <w:left w:type="dxa" w:w="120"/>
              <w:bottom w:type="dxa" w:w="80"/>
              <w:right w:type="dxa" w:w="120"/>
            </w:tcMar>
          </w:tcPr>
          <w:p>
            <w:r>
              <w:rPr>
                <w:b w:val="false"/>
                <w:bCs w:val="false"/>
                <w:color w:val="000000"/>
                <w:sz w:val="20"/>
                <w:szCs w:val="20"/>
              </w:rPr>
              <w:t xml:space="preserve">The insert's axial width. Untapered parts print as a straight prism, so you can rescale Z in your slicer for other widths without distortion.</w:t>
            </w:r>
          </w:p>
        </w:tc>
      </w:tr>
      <w:tr>
        <w:tc>
          <w:tcPr>
            <w:tcW w:type="dxa" w:w="2400"/>
            <w:tcMar>
              <w:top w:type="dxa" w:w="80"/>
              <w:left w:type="dxa" w:w="120"/>
              <w:bottom w:type="dxa" w:w="80"/>
              <w:right w:type="dxa" w:w="120"/>
            </w:tcMar>
          </w:tcPr>
          <w:p>
            <w:r>
              <w:rPr>
                <w:b w:val="false"/>
                <w:bCs w:val="false"/>
                <w:color w:val="000000"/>
                <w:sz w:val="20"/>
                <w:szCs w:val="20"/>
              </w:rPr>
              <w:t xml:space="preserve">Taper to outer width</w:t>
            </w:r>
          </w:p>
        </w:tc>
        <w:tc>
          <w:tcPr>
            <w:tcW w:type="dxa" w:w="6960"/>
            <w:tcMar>
              <w:top w:type="dxa" w:w="80"/>
              <w:left w:type="dxa" w:w="120"/>
              <w:bottom w:type="dxa" w:w="80"/>
              <w:right w:type="dxa" w:w="120"/>
            </w:tcMar>
          </w:tcPr>
          <w:p>
            <w:r>
              <w:rPr>
                <w:b w:val="false"/>
                <w:bCs w:val="false"/>
                <w:color w:val="000000"/>
                <w:sz w:val="20"/>
                <w:szCs w:val="20"/>
              </w:rPr>
              <w:t xml:space="preserve">Turns the insert into a taper, with its own taper style: One side only keeps one face flat on the bed (no supports); Both sides grows symmetrically from a centerline (closer to a real tire, thin end may want supports).</w:t>
            </w:r>
          </w:p>
        </w:tc>
      </w:tr>
    </w:tbl>
    <w:p>
      <w:pPr>
        <w:pStyle w:val="Heading1"/>
        <w:spacing w:after="150" w:before="300"/>
      </w:pPr>
      <w:r>
        <w:t xml:space="preserve">Sidewall Band</w:t>
      </w:r>
    </w:p>
    <w:p>
      <w:pPr>
        <w:spacing w:after="120"/>
      </w:pPr>
      <w:r>
        <w:t xml:space="preserve">This is your side-hill backbone — the solid ring near the bore that keeps the insert from folding over sideways on a hard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Solid band from bore</w:t>
            </w:r>
          </w:p>
        </w:tc>
        <w:tc>
          <w:tcPr>
            <w:tcW w:type="dxa" w:w="6960"/>
            <w:tcMar>
              <w:top w:type="dxa" w:w="80"/>
              <w:left w:type="dxa" w:w="120"/>
              <w:bottom w:type="dxa" w:w="80"/>
              <w:right w:type="dxa" w:w="120"/>
            </w:tcMar>
          </w:tcPr>
          <w:p>
            <w:r>
              <w:rPr>
                <w:b w:val="false"/>
                <w:bCs w:val="false"/>
                <w:color w:val="000000"/>
                <w:sz w:val="20"/>
                <w:szCs w:val="20"/>
              </w:rPr>
              <w:t xml:space="preserve">Width of the solid support ring. Keep it near 2.5 mm at 2 slicer wall loops, or set Root anchor to Wall depth if you need it wider: a wide band slices as two thin walls around a sparse infill core, and roots embedded in that core are anchored to almost nothing. Don’t widen it to strengthen the roots. See the Compliant TPU Printing Guide, §3.</w:t>
            </w:r>
          </w:p>
        </w:tc>
      </w:tr>
      <w:tr>
        <w:tc>
          <w:tcPr>
            <w:tcW w:type="dxa" w:w="2400"/>
            <w:tcMar>
              <w:top w:type="dxa" w:w="80"/>
              <w:left w:type="dxa" w:w="120"/>
              <w:bottom w:type="dxa" w:w="80"/>
              <w:right w:type="dxa" w:w="120"/>
            </w:tcMar>
          </w:tcPr>
          <w:p>
            <w:r>
              <w:rPr>
                <w:b w:val="false"/>
                <w:bCs w:val="false"/>
                <w:color w:val="000000"/>
                <w:sz w:val="20"/>
                <w:szCs w:val="20"/>
              </w:rPr>
              <w:t xml:space="preserve">Outer rim wall</w:t>
            </w:r>
          </w:p>
        </w:tc>
        <w:tc>
          <w:tcPr>
            <w:tcW w:type="dxa" w:w="6960"/>
            <w:tcMar>
              <w:top w:type="dxa" w:w="80"/>
              <w:left w:type="dxa" w:w="120"/>
              <w:bottom w:type="dxa" w:w="80"/>
              <w:right w:type="dxa" w:w="120"/>
            </w:tcMar>
          </w:tcPr>
          <w:p>
            <w:r>
              <w:rPr>
                <w:b w:val="false"/>
                <w:bCs w:val="false"/>
                <w:color w:val="000000"/>
                <w:sz w:val="20"/>
                <w:szCs w:val="20"/>
              </w:rPr>
              <w:t xml:space="preserve">Thickness of the ring at the very outer edge.</w:t>
            </w:r>
          </w:p>
        </w:tc>
      </w:tr>
      <w:tr>
        <w:tc>
          <w:tcPr>
            <w:tcW w:type="dxa" w:w="2400"/>
            <w:tcMar>
              <w:top w:type="dxa" w:w="80"/>
              <w:left w:type="dxa" w:w="120"/>
              <w:bottom w:type="dxa" w:w="80"/>
              <w:right w:type="dxa" w:w="120"/>
            </w:tcMar>
          </w:tcPr>
          <w:p>
            <w:r>
              <w:rPr>
                <w:b w:val="false"/>
                <w:bCs w:val="false"/>
                <w:color w:val="000000"/>
                <w:sz w:val="20"/>
                <w:szCs w:val="20"/>
              </w:rPr>
              <w:t xml:space="preserve">Bore edge</w:t>
            </w:r>
          </w:p>
        </w:tc>
        <w:tc>
          <w:tcPr>
            <w:tcW w:type="dxa" w:w="6960"/>
            <w:tcMar>
              <w:top w:type="dxa" w:w="80"/>
              <w:left w:type="dxa" w:w="120"/>
              <w:bottom w:type="dxa" w:w="80"/>
              <w:right w:type="dxa" w:w="120"/>
            </w:tcMar>
          </w:tcPr>
          <w:p>
            <w:r>
              <w:rPr>
                <w:b w:val="false"/>
                <w:bCs w:val="false"/>
                <w:color w:val="000000"/>
                <w:sz w:val="20"/>
                <w:szCs w:val="20"/>
              </w:rPr>
              <w:t xml:space="preserve">Chamfer/round/bullnose/cove/ogee options to ease the inner bore so the insert slides over the beadlock hub more easily. Independent of the outer shoulder. Keep it Square, or use Chamfer with Profile size ≤ 0.3 × Hub width (0.75 mm on a 2.5 mm hub) in Deep root mode; past that the chamfer cuts under each root tip at the faces and those tips print as loose beads. For anything larger, switch Root anchor to Wall depth. See the Compliant TPU Printing Guide, §6.</w:t>
            </w:r>
          </w:p>
        </w:tc>
      </w:tr>
    </w:tbl>
    <w:p>
      <w:pPr>
        <w:pStyle w:val="Heading1"/>
        <w:spacing w:after="150" w:before="300"/>
      </w:pPr>
      <w:r>
        <w:t xml:space="preserve">Outer Shoulder</w:t>
      </w:r>
    </w:p>
    <w:p>
      <w:pPr>
        <w:spacing w:after="120"/>
      </w:pPr>
      <w:r>
        <w:t xml:space="preserve">Controls the profile of the insert's outer edge (where it meets the tire crown).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Edge profile</w:t>
            </w:r>
          </w:p>
        </w:tc>
        <w:tc>
          <w:tcPr>
            <w:tcW w:type="dxa" w:w="6960"/>
            <w:tcMar>
              <w:top w:type="dxa" w:w="80"/>
              <w:left w:type="dxa" w:w="120"/>
              <w:bottom w:type="dxa" w:w="80"/>
              <w:right w:type="dxa" w:w="120"/>
            </w:tcMar>
          </w:tcPr>
          <w:p>
            <w:r>
              <w:rPr>
                <w:b w:val="false"/>
                <w:bCs w:val="false"/>
                <w:color w:val="000000"/>
                <w:sz w:val="20"/>
                <w:szCs w:val="20"/>
              </w:rPr>
              <w:t xml:space="preserve">Square, round, chamfer, bullnose, cove, ogee, step, plus experimental ones (reeded, sawedge, scallop).</w:t>
            </w:r>
          </w:p>
        </w:tc>
      </w:tr>
      <w:tr>
        <w:tc>
          <w:tcPr>
            <w:tcW w:type="dxa" w:w="2400"/>
            <w:tcMar>
              <w:top w:type="dxa" w:w="80"/>
              <w:left w:type="dxa" w:w="120"/>
              <w:bottom w:type="dxa" w:w="80"/>
              <w:right w:type="dxa" w:w="120"/>
            </w:tcMar>
          </w:tcPr>
          <w:p>
            <w:r>
              <w:rPr>
                <w:b w:val="false"/>
                <w:bCs w:val="false"/>
                <w:color w:val="000000"/>
                <w:sz w:val="20"/>
                <w:szCs w:val="20"/>
              </w:rPr>
              <w:t xml:space="preserve">Profile size</w:t>
            </w:r>
          </w:p>
        </w:tc>
        <w:tc>
          <w:tcPr>
            <w:tcW w:type="dxa" w:w="6960"/>
            <w:tcMar>
              <w:top w:type="dxa" w:w="80"/>
              <w:left w:type="dxa" w:w="120"/>
              <w:bottom w:type="dxa" w:w="80"/>
              <w:right w:type="dxa" w:w="120"/>
            </w:tcMar>
          </w:tcPr>
          <w:p>
            <w:r>
              <w:rPr>
                <w:b w:val="false"/>
                <w:bCs w:val="false"/>
                <w:color w:val="000000"/>
                <w:sz w:val="20"/>
                <w:szCs w:val="20"/>
              </w:rPr>
              <w:t xml:space="preserve">How pronounced the profile is.</w:t>
            </w:r>
          </w:p>
        </w:tc>
      </w:tr>
      <w:tr>
        <w:tc>
          <w:tcPr>
            <w:tcW w:type="dxa" w:w="2400"/>
            <w:tcMar>
              <w:top w:type="dxa" w:w="80"/>
              <w:left w:type="dxa" w:w="120"/>
              <w:bottom w:type="dxa" w:w="80"/>
              <w:right w:type="dxa" w:w="120"/>
            </w:tcMar>
          </w:tcPr>
          <w:p>
            <w:r>
              <w:rPr>
                <w:b w:val="false"/>
                <w:bCs w:val="false"/>
                <w:color w:val="000000"/>
                <w:sz w:val="20"/>
                <w:szCs w:val="20"/>
              </w:rPr>
              <w:t xml:space="preserve">Different profile on each side</w:t>
            </w:r>
          </w:p>
        </w:tc>
        <w:tc>
          <w:tcPr>
            <w:tcW w:type="dxa" w:w="6960"/>
            <w:tcMar>
              <w:top w:type="dxa" w:w="80"/>
              <w:left w:type="dxa" w:w="120"/>
              <w:bottom w:type="dxa" w:w="80"/>
              <w:right w:type="dxa" w:w="120"/>
            </w:tcMar>
          </w:tcPr>
          <w:p>
            <w:r>
              <w:rPr>
                <w:b w:val="false"/>
                <w:bCs w:val="false"/>
                <w:color w:val="000000"/>
                <w:sz w:val="20"/>
                <w:szCs w:val="20"/>
              </w:rPr>
              <w:t xml:space="preserve">Lets bottom (bed side) and top edges use different profiles — good for a taper that's flat on the bed but styled differently on top. Only the six classic profiles support this split.</w:t>
            </w:r>
          </w:p>
        </w:tc>
      </w:tr>
      <w:tr>
        <w:tc>
          <w:tcPr>
            <w:tcW w:type="dxa" w:w="2400"/>
            <w:tcMar>
              <w:top w:type="dxa" w:w="80"/>
              <w:left w:type="dxa" w:w="120"/>
              <w:bottom w:type="dxa" w:w="80"/>
              <w:right w:type="dxa" w:w="120"/>
            </w:tcMar>
          </w:tcPr>
          <w:p>
            <w:r>
              <w:rPr>
                <w:b w:val="false"/>
                <w:bCs w:val="false"/>
                <w:color w:val="000000"/>
                <w:sz w:val="20"/>
                <w:szCs w:val="20"/>
              </w:rPr>
              <w:t xml:space="preserve">Trim cells to shoulder</w:t>
            </w:r>
          </w:p>
        </w:tc>
        <w:tc>
          <w:tcPr>
            <w:tcW w:type="dxa" w:w="6960"/>
            <w:tcMar>
              <w:top w:type="dxa" w:w="80"/>
              <w:left w:type="dxa" w:w="120"/>
              <w:bottom w:type="dxa" w:w="80"/>
              <w:right w:type="dxa" w:w="120"/>
            </w:tcMar>
          </w:tcPr>
          <w:p>
            <w:r>
              <w:rPr>
                <w:b w:val="false"/>
                <w:bCs w:val="false"/>
                <w:color w:val="000000"/>
                <w:sz w:val="20"/>
                <w:szCs w:val="20"/>
              </w:rPr>
              <w:t xml:space="preserve">Keeps the internal cell pattern from poking out past the shoulder profile — leave this on unless you have a reason not to.</w:t>
            </w:r>
          </w:p>
        </w:tc>
      </w:tr>
    </w:tbl>
    <w:p>
      <w:pPr>
        <w:pStyle w:val="Heading1"/>
        <w:spacing w:after="150" w:before="300"/>
      </w:pPr>
      <w:r>
        <w:t xml:space="preserve">Cell Pattern</w:t>
      </w:r>
    </w:p>
    <w:p>
      <w:pPr>
        <w:spacing w:after="120"/>
      </w:pPr>
      <w:r>
        <w:t xml:space="preserve">This is the internal structure — the actual “give” of the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Shape</w:t>
            </w:r>
          </w:p>
        </w:tc>
        <w:tc>
          <w:tcPr>
            <w:tcW w:type="dxa" w:w="6960"/>
            <w:tcMar>
              <w:top w:type="dxa" w:w="80"/>
              <w:left w:type="dxa" w:w="120"/>
              <w:bottom w:type="dxa" w:w="80"/>
              <w:right w:type="dxa" w:w="120"/>
            </w:tcMar>
          </w:tcPr>
          <w:p>
            <w:r>
              <w:rPr>
                <w:b w:val="false"/>
                <w:bCs w:val="false"/>
                <w:color w:val="000000"/>
                <w:sz w:val="20"/>
                <w:szCs w:val="20"/>
              </w:rPr>
              <w:t xml:space="preserve">The repeating cell geometry: grid, spokes, gyroid, squares, circles, honeycomb, triangles, auxetic (and variants), plus experimental chainmail/herringbone/lamella. Auxetic and lamella tend to be most compliant; honeycomb and grid trend stiffer. There’s also “Solid — slicer infill decides”: seals the row into one bare band with no internal cell geometry at all, at any Rows count (1 included) — see “What NOT to change in the slicer to tune softness” below for why this one shape is the deliberate exception to that section, and the Solid build-character presets for a ready-made starting point.</w:t>
            </w:r>
          </w:p>
        </w:tc>
      </w:tr>
      <w:tr>
        <w:tc>
          <w:tcPr>
            <w:tcW w:type="dxa" w:w="2400"/>
            <w:tcMar>
              <w:top w:type="dxa" w:w="80"/>
              <w:left w:type="dxa" w:w="120"/>
              <w:bottom w:type="dxa" w:w="80"/>
              <w:right w:type="dxa" w:w="120"/>
            </w:tcMar>
          </w:tcPr>
          <w:p>
            <w:r>
              <w:rPr>
                <w:b w:val="false"/>
                <w:bCs w:val="false"/>
                <w:color w:val="000000"/>
                <w:sz w:val="20"/>
                <w:szCs w:val="20"/>
              </w:rPr>
              <w:t xml:space="preserve">Wall thickness</w:t>
            </w:r>
          </w:p>
        </w:tc>
        <w:tc>
          <w:tcPr>
            <w:tcW w:type="dxa" w:w="6960"/>
            <w:tcMar>
              <w:top w:type="dxa" w:w="80"/>
              <w:left w:type="dxa" w:w="120"/>
              <w:bottom w:type="dxa" w:w="80"/>
              <w:right w:type="dxa" w:w="120"/>
            </w:tcMar>
          </w:tcPr>
          <w:p>
            <w:r>
              <w:rPr>
                <w:b w:val="false"/>
                <w:bCs w:val="false"/>
                <w:color w:val="000000"/>
                <w:sz w:val="20"/>
                <w:szCs w:val="20"/>
              </w:rPr>
              <w:t xml:space="preserve">The strongest lever for softness. Thinner walls flex more. The app flags any wall too thin to print cleanly at your chosen nozzle size.</w:t>
            </w:r>
          </w:p>
        </w:tc>
      </w:tr>
      <w:tr>
        <w:tc>
          <w:tcPr>
            <w:tcW w:type="dxa" w:w="2400"/>
            <w:tcMar>
              <w:top w:type="dxa" w:w="80"/>
              <w:left w:type="dxa" w:w="120"/>
              <w:bottom w:type="dxa" w:w="80"/>
              <w:right w:type="dxa" w:w="120"/>
            </w:tcMar>
          </w:tcPr>
          <w:p>
            <w:r>
              <w:rPr>
                <w:b w:val="false"/>
                <w:bCs w:val="false"/>
                <w:color w:val="000000"/>
                <w:sz w:val="20"/>
                <w:szCs w:val="20"/>
              </w:rPr>
              <w:t xml:space="preserve">Wall gradient</w:t>
            </w:r>
          </w:p>
        </w:tc>
        <w:tc>
          <w:tcPr>
            <w:tcW w:type="dxa" w:w="6960"/>
            <w:tcMar>
              <w:top w:type="dxa" w:w="80"/>
              <w:left w:type="dxa" w:w="120"/>
              <w:bottom w:type="dxa" w:w="80"/>
              <w:right w:type="dxa" w:w="120"/>
            </w:tcMar>
          </w:tcPr>
          <w:p>
            <w:r>
              <w:rPr>
                <w:b w:val="false"/>
                <w:bCs w:val="false"/>
                <w:color w:val="000000"/>
                <w:sz w:val="20"/>
                <w:szCs w:val="20"/>
              </w:rPr>
              <w:t xml:space="preserve">Tapers wall thickness from full at the bed up to a lighter percentage at the top — prints clean with no supports and saves filament. 100% = uniform.</w:t>
            </w:r>
          </w:p>
        </w:tc>
      </w:tr>
      <w:tr>
        <w:tc>
          <w:tcPr>
            <w:tcW w:type="dxa" w:w="2400"/>
            <w:tcMar>
              <w:top w:type="dxa" w:w="80"/>
              <w:left w:type="dxa" w:w="120"/>
              <w:bottom w:type="dxa" w:w="80"/>
              <w:right w:type="dxa" w:w="120"/>
            </w:tcMar>
          </w:tcPr>
          <w:p>
            <w:r>
              <w:rPr>
                <w:b w:val="false"/>
                <w:bCs w:val="false"/>
                <w:color w:val="000000"/>
                <w:sz w:val="20"/>
                <w:szCs w:val="20"/>
              </w:rPr>
              <w:t xml:space="preserve">Rows (radial)</w:t>
            </w:r>
          </w:p>
        </w:tc>
        <w:tc>
          <w:tcPr>
            <w:tcW w:type="dxa" w:w="6960"/>
            <w:tcMar>
              <w:top w:type="dxa" w:w="80"/>
              <w:left w:type="dxa" w:w="120"/>
              <w:bottom w:type="dxa" w:w="80"/>
              <w:right w:type="dxa" w:w="120"/>
            </w:tcMar>
          </w:tcPr>
          <w:p>
            <w:r>
              <w:rPr>
                <w:b w:val="false"/>
                <w:bCs w:val="false"/>
                <w:color w:val="000000"/>
                <w:sz w:val="20"/>
                <w:szCs w:val="20"/>
              </w:rPr>
              <w:t xml:space="preserve">How many concentric rows of cells, bore to rim.</w:t>
            </w:r>
          </w:p>
        </w:tc>
      </w:tr>
      <w:tr>
        <w:tc>
          <w:tcPr>
            <w:tcW w:type="dxa" w:w="2400"/>
            <w:tcMar>
              <w:top w:type="dxa" w:w="80"/>
              <w:left w:type="dxa" w:w="120"/>
              <w:bottom w:type="dxa" w:w="80"/>
              <w:right w:type="dxa" w:w="120"/>
            </w:tcMar>
          </w:tcPr>
          <w:p>
            <w:r>
              <w:rPr>
                <w:b w:val="false"/>
                <w:bCs w:val="false"/>
                <w:color w:val="000000"/>
                <w:sz w:val="20"/>
                <w:szCs w:val="20"/>
              </w:rPr>
              <w:t xml:space="preserve">Row 1–6 tilt</w:t>
            </w:r>
          </w:p>
        </w:tc>
        <w:tc>
          <w:tcPr>
            <w:tcW w:type="dxa" w:w="6960"/>
            <w:tcMar>
              <w:top w:type="dxa" w:w="80"/>
              <w:left w:type="dxa" w:w="120"/>
              <w:bottom w:type="dxa" w:w="80"/>
              <w:right w:type="dxa" w:w="120"/>
            </w:tcMar>
          </w:tcPr>
          <w:p>
            <w:r>
              <w:rPr>
                <w:b w:val="false"/>
                <w:bCs w:val="false"/>
                <w:color w:val="000000"/>
                <w:sz w:val="20"/>
                <w:szCs w:val="20"/>
              </w:rPr>
              <w:t xml:space="preserve">Leans that row’s strut/cell walls out of the flat radial-tangential plane, in degrees (-45 to 45), instead of standing perpendicular to the wheel’s plane — one slider per row, shown only for rows that exist at the current Rows count. Fully independent per row. Only affects Grid, Squares, Gyroid, Circles, Honeycomb, Chainmail, Oval, Triangles, Auxetic (and bowtie/fine-chevron variants), Herringbone, and Half-circle arcs — row-boundary rings, the hub/rim solids, radials, tread lugs, the “Solid — slicer infill decides” row option, and the full-depth Spokes/Lamella/S-bend/Chevron springs/Funnel/Curled tendrils patterns always stay untilted (those last six have no single row to tilt by). Past roughly 30-45 degrees, watch the 3D preview for strut self-intersection. Experimental: verified in the geometry test harness and a live browser check, not yet printed or load-tested.</w:t>
            </w:r>
          </w:p>
        </w:tc>
      </w:tr>
      <w:tr>
        <w:tc>
          <w:tcPr>
            <w:tcW w:type="dxa" w:w="2400"/>
            <w:tcMar>
              <w:top w:type="dxa" w:w="80"/>
              <w:left w:type="dxa" w:w="120"/>
              <w:bottom w:type="dxa" w:w="80"/>
              <w:right w:type="dxa" w:w="120"/>
            </w:tcMar>
          </w:tcPr>
          <w:p>
            <w:r>
              <w:rPr>
                <w:b w:val="false"/>
                <w:bCs w:val="false"/>
                <w:color w:val="000000"/>
                <w:sz w:val="20"/>
                <w:szCs w:val="20"/>
              </w:rPr>
              <w:t xml:space="preserve">Row spacing bias</w:t>
            </w:r>
          </w:p>
        </w:tc>
        <w:tc>
          <w:tcPr>
            <w:tcW w:type="dxa" w:w="6960"/>
            <w:tcMar>
              <w:top w:type="dxa" w:w="80"/>
              <w:left w:type="dxa" w:w="120"/>
              <w:bottom w:type="dxa" w:w="80"/>
              <w:right w:type="dxa" w:w="120"/>
            </w:tcMar>
          </w:tcPr>
          <w:p>
            <w:r>
              <w:rPr>
                <w:b w:val="false"/>
                <w:bCs w:val="false"/>
                <w:color w:val="000000"/>
                <w:sz w:val="20"/>
                <w:szCs w:val="20"/>
              </w:rPr>
              <w:t xml:space="preserve">Skews where row boundaries fall — below 1 widens the inner band, above 1 widens the outer (tread-side) band.</w:t>
            </w:r>
          </w:p>
        </w:tc>
      </w:tr>
      <w:tr>
        <w:tc>
          <w:tcPr>
            <w:tcW w:type="dxa" w:w="2400"/>
            <w:tcMar>
              <w:top w:type="dxa" w:w="80"/>
              <w:left w:type="dxa" w:w="120"/>
              <w:bottom w:type="dxa" w:w="80"/>
              <w:right w:type="dxa" w:w="120"/>
            </w:tcMar>
          </w:tcPr>
          <w:p>
            <w:r>
              <w:rPr>
                <w:b w:val="false"/>
                <w:bCs w:val="false"/>
                <w:color w:val="000000"/>
                <w:sz w:val="20"/>
                <w:szCs w:val="20"/>
              </w:rPr>
              <w:t xml:space="preserve">Cells per row</w:t>
            </w:r>
          </w:p>
        </w:tc>
        <w:tc>
          <w:tcPr>
            <w:tcW w:type="dxa" w:w="6960"/>
            <w:tcMar>
              <w:top w:type="dxa" w:w="80"/>
              <w:left w:type="dxa" w:w="120"/>
              <w:bottom w:type="dxa" w:w="80"/>
              <w:right w:type="dxa" w:w="120"/>
            </w:tcMar>
          </w:tcPr>
          <w:p>
            <w:r>
              <w:rPr>
                <w:b w:val="false"/>
                <w:bCs w:val="false"/>
                <w:color w:val="000000"/>
                <w:sz w:val="20"/>
                <w:szCs w:val="20"/>
              </w:rPr>
              <w:t xml:space="preserve">Density of cells around each ring.</w:t>
            </w:r>
          </w:p>
        </w:tc>
      </w:tr>
      <w:tr>
        <w:tc>
          <w:tcPr>
            <w:tcW w:type="dxa" w:w="2400"/>
            <w:tcMar>
              <w:top w:type="dxa" w:w="80"/>
              <w:left w:type="dxa" w:w="120"/>
              <w:bottom w:type="dxa" w:w="80"/>
              <w:right w:type="dxa" w:w="120"/>
            </w:tcMar>
          </w:tcPr>
          <w:p>
            <w:r>
              <w:rPr>
                <w:b w:val="false"/>
                <w:bCs w:val="false"/>
                <w:color w:val="000000"/>
                <w:sz w:val="20"/>
                <w:szCs w:val="20"/>
              </w:rPr>
              <w:t xml:space="preserve">Shape fill</w:t>
            </w:r>
          </w:p>
        </w:tc>
        <w:tc>
          <w:tcPr>
            <w:tcW w:type="dxa" w:w="6960"/>
            <w:tcMar>
              <w:top w:type="dxa" w:w="80"/>
              <w:left w:type="dxa" w:w="120"/>
              <w:bottom w:type="dxa" w:w="80"/>
              <w:right w:type="dxa" w:w="120"/>
            </w:tcMar>
          </w:tcPr>
          <w:p>
            <w:r>
              <w:rPr>
                <w:b w:val="false"/>
                <w:bCs w:val="false"/>
                <w:color w:val="000000"/>
                <w:sz w:val="20"/>
                <w:szCs w:val="20"/>
              </w:rPr>
              <w:t xml:space="preserve">How much of each cell is filled vs. open — lower fill = softer/lighter, but more prone to feeling “loose” without ties.</w:t>
            </w:r>
          </w:p>
        </w:tc>
      </w:tr>
      <w:tr>
        <w:tc>
          <w:tcPr>
            <w:tcW w:type="dxa" w:w="2400"/>
            <w:tcMar>
              <w:top w:type="dxa" w:w="80"/>
              <w:left w:type="dxa" w:w="120"/>
              <w:bottom w:type="dxa" w:w="80"/>
              <w:right w:type="dxa" w:w="120"/>
            </w:tcMar>
          </w:tcPr>
          <w:p>
            <w:r>
              <w:rPr>
                <w:b w:val="false"/>
                <w:bCs w:val="false"/>
                <w:color w:val="000000"/>
                <w:sz w:val="20"/>
                <w:szCs w:val="20"/>
              </w:rPr>
              <w:t xml:space="preserve">Tie cells together</w:t>
            </w:r>
          </w:p>
        </w:tc>
        <w:tc>
          <w:tcPr>
            <w:tcW w:type="dxa" w:w="6960"/>
            <w:tcMar>
              <w:top w:type="dxa" w:w="80"/>
              <w:left w:type="dxa" w:w="120"/>
              <w:bottom w:type="dxa" w:w="80"/>
              <w:right w:type="dxa" w:w="120"/>
            </w:tcMar>
          </w:tcPr>
          <w:p>
            <w:r>
              <w:rPr>
                <w:b w:val="false"/>
                <w:bCs w:val="false"/>
                <w:color w:val="000000"/>
                <w:sz w:val="20"/>
                <w:szCs w:val="20"/>
              </w:rPr>
              <w:t xml:space="preserve">Adds connecting rings/stubs so low-fill circle/honeycomb cells don't float free. Generally leave on.</w:t>
            </w:r>
          </w:p>
        </w:tc>
      </w:tr>
      <w:tr>
        <w:tc>
          <w:tcPr>
            <w:tcW w:type="dxa" w:w="2400"/>
            <w:tcMar>
              <w:top w:type="dxa" w:w="80"/>
              <w:left w:type="dxa" w:w="120"/>
              <w:bottom w:type="dxa" w:w="80"/>
              <w:right w:type="dxa" w:w="120"/>
            </w:tcMar>
          </w:tcPr>
          <w:p>
            <w:r>
              <w:rPr>
                <w:b w:val="false"/>
                <w:bCs w:val="false"/>
                <w:color w:val="000000"/>
                <w:sz w:val="20"/>
                <w:szCs w:val="20"/>
              </w:rPr>
              <w:t xml:space="preserve">Vary shape by layer</w:t>
            </w:r>
          </w:p>
        </w:tc>
        <w:tc>
          <w:tcPr>
            <w:tcW w:type="dxa" w:w="6960"/>
            <w:tcMar>
              <w:top w:type="dxa" w:w="80"/>
              <w:left w:type="dxa" w:w="120"/>
              <w:bottom w:type="dxa" w:w="80"/>
              <w:right w:type="dxa" w:w="120"/>
            </w:tcMar>
          </w:tcPr>
          <w:p>
            <w:r>
              <w:rPr>
                <w:b w:val="false"/>
                <w:bCs w:val="false"/>
                <w:color w:val="000000"/>
                <w:sz w:val="20"/>
                <w:szCs w:val="20"/>
              </w:rPr>
              <w:t xml:space="preserve">Splits rows into inner/outer halves, each with its own cell shape — e.g. dense/stiff near the bore, open/soft toward the tread. Needs 2+ rows.</w:t>
            </w:r>
          </w:p>
        </w:tc>
      </w:tr>
      <w:tr>
        <w:tc>
          <w:tcPr>
            <w:tcW w:type="dxa" w:w="2400"/>
            <w:tcMar>
              <w:top w:type="dxa" w:w="80"/>
              <w:left w:type="dxa" w:w="120"/>
              <w:bottom w:type="dxa" w:w="80"/>
              <w:right w:type="dxa" w:w="120"/>
            </w:tcMar>
          </w:tcPr>
          <w:p>
            <w:r>
              <w:rPr>
                <w:b w:val="false"/>
                <w:bCs w:val="false"/>
                <w:color w:val="000000"/>
                <w:sz w:val="20"/>
                <w:szCs w:val="20"/>
              </w:rPr>
              <w:t xml:space="preserve">Split into two pieces</w:t>
            </w:r>
          </w:p>
        </w:tc>
        <w:tc>
          <w:tcPr>
            <w:tcW w:type="dxa" w:w="6960"/>
            <w:tcMar>
              <w:top w:type="dxa" w:w="80"/>
              <w:left w:type="dxa" w:w="120"/>
              <w:bottom w:type="dxa" w:w="80"/>
              <w:right w:type="dxa" w:w="120"/>
            </w:tcMar>
          </w:tcPr>
          <w:p>
            <w:r>
              <w:rPr>
                <w:b w:val="false"/>
                <w:bCs w:val="false"/>
                <w:color w:val="000000"/>
                <w:sz w:val="20"/>
                <w:szCs w:val="20"/>
              </w:rPr>
              <w:t xml:space="preserve">Cuts the part at the inner/outer boundary into two separately-printable, press-fit pieces. Requires “Vary shape by layer.”</w:t>
            </w:r>
          </w:p>
        </w:tc>
      </w:tr>
    </w:tbl>
    <w:p>
      <w:pPr>
        <w:pStyle w:val="Heading1"/>
        <w:spacing w:after="150" w:before="300"/>
      </w:pPr>
      <w:r>
        <w:t xml:space="preserve">Radials</w:t>
      </w:r>
    </w:p>
    <w:p>
      <w:pPr>
        <w:spacing w:after="120"/>
      </w:pPr>
      <w:r>
        <w:t xml:space="preserve">Full-depth ribs running bore-to-rim (or partway), on top of the cell pattern — the surest way to guarantee everything stays one connected body and adds side-hill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Count</w:t>
            </w:r>
          </w:p>
        </w:tc>
        <w:tc>
          <w:tcPr>
            <w:tcW w:type="dxa" w:w="6960"/>
            <w:tcMar>
              <w:top w:type="dxa" w:w="80"/>
              <w:left w:type="dxa" w:w="120"/>
              <w:bottom w:type="dxa" w:w="80"/>
              <w:right w:type="dxa" w:w="120"/>
            </w:tcMar>
          </w:tcPr>
          <w:p>
            <w:r>
              <w:rPr>
                <w:b w:val="false"/>
                <w:bCs w:val="false"/>
                <w:color w:val="000000"/>
                <w:sz w:val="20"/>
                <w:szCs w:val="20"/>
              </w:rPr>
              <w:t xml:space="preserve">Number of radial ribs (0 = none).</w:t>
            </w:r>
          </w:p>
        </w:tc>
      </w:tr>
      <w:tr>
        <w:tc>
          <w:tcPr>
            <w:tcW w:type="dxa" w:w="2400"/>
            <w:tcMar>
              <w:top w:type="dxa" w:w="80"/>
              <w:left w:type="dxa" w:w="120"/>
              <w:bottom w:type="dxa" w:w="80"/>
              <w:right w:type="dxa" w:w="120"/>
            </w:tcMar>
          </w:tcPr>
          <w:p>
            <w:r>
              <w:rPr>
                <w:b w:val="false"/>
                <w:bCs w:val="false"/>
                <w:color w:val="000000"/>
                <w:sz w:val="20"/>
                <w:szCs w:val="20"/>
              </w:rPr>
              <w:t xml:space="preserve">Thickness</w:t>
            </w:r>
          </w:p>
        </w:tc>
        <w:tc>
          <w:tcPr>
            <w:tcW w:type="dxa" w:w="6960"/>
            <w:tcMar>
              <w:top w:type="dxa" w:w="80"/>
              <w:left w:type="dxa" w:w="120"/>
              <w:bottom w:type="dxa" w:w="80"/>
              <w:right w:type="dxa" w:w="120"/>
            </w:tcMar>
          </w:tcPr>
          <w:p>
            <w:r>
              <w:rPr>
                <w:b w:val="false"/>
                <w:bCs w:val="false"/>
                <w:color w:val="000000"/>
                <w:sz w:val="20"/>
                <w:szCs w:val="20"/>
              </w:rPr>
              <w:t xml:space="preserve">Rib thickness.</w:t>
            </w:r>
          </w:p>
        </w:tc>
      </w:tr>
      <w:tr>
        <w:tc>
          <w:tcPr>
            <w:tcW w:type="dxa" w:w="2400"/>
            <w:tcMar>
              <w:top w:type="dxa" w:w="80"/>
              <w:left w:type="dxa" w:w="120"/>
              <w:bottom w:type="dxa" w:w="80"/>
              <w:right w:type="dxa" w:w="120"/>
            </w:tcMar>
          </w:tcPr>
          <w:p>
            <w:r>
              <w:rPr>
                <w:b w:val="false"/>
                <w:bCs w:val="false"/>
                <w:color w:val="000000"/>
                <w:sz w:val="20"/>
                <w:szCs w:val="20"/>
              </w:rPr>
              <w:t xml:space="preserve">Span</w:t>
            </w:r>
          </w:p>
        </w:tc>
        <w:tc>
          <w:tcPr>
            <w:tcW w:type="dxa" w:w="6960"/>
            <w:tcMar>
              <w:top w:type="dxa" w:w="80"/>
              <w:left w:type="dxa" w:w="120"/>
              <w:bottom w:type="dxa" w:w="80"/>
              <w:right w:type="dxa" w:w="120"/>
            </w:tcMar>
          </w:tcPr>
          <w:p>
            <w:r>
              <w:rPr>
                <w:b w:val="false"/>
                <w:bCs w:val="false"/>
                <w:color w:val="000000"/>
                <w:sz w:val="20"/>
                <w:szCs w:val="20"/>
              </w:rPr>
              <w:t xml:space="preserve">Band to rim (from the solid sidewall band outward) or Bore to outer ring (full depth, max support).</w:t>
            </w:r>
          </w:p>
        </w:tc>
      </w:tr>
      <w:tr>
        <w:tc>
          <w:tcPr>
            <w:tcW w:type="dxa" w:w="2400"/>
            <w:tcMar>
              <w:top w:type="dxa" w:w="80"/>
              <w:left w:type="dxa" w:w="120"/>
              <w:bottom w:type="dxa" w:w="80"/>
              <w:right w:type="dxa" w:w="120"/>
            </w:tcMar>
          </w:tcPr>
          <w:p>
            <w:r>
              <w:rPr>
                <w:b w:val="false"/>
                <w:bCs w:val="false"/>
                <w:color w:val="000000"/>
                <w:sz w:val="20"/>
                <w:szCs w:val="20"/>
              </w:rPr>
              <w:t xml:space="preserve">Progressive secondary ribs</w:t>
            </w:r>
          </w:p>
        </w:tc>
        <w:tc>
          <w:tcPr>
            <w:tcW w:type="dxa" w:w="6960"/>
            <w:tcMar>
              <w:top w:type="dxa" w:w="80"/>
              <w:left w:type="dxa" w:w="120"/>
              <w:bottom w:type="dxa" w:w="80"/>
              <w:right w:type="dxa" w:w="120"/>
            </w:tcMar>
          </w:tcPr>
          <w:p>
            <w:r>
              <w:rPr>
                <w:b w:val="false"/>
                <w:bCs w:val="false"/>
                <w:color w:val="000000"/>
                <w:sz w:val="20"/>
                <w:szCs w:val="20"/>
              </w:rPr>
              <w:t xml:space="preserve">Adds a second, shorter set of ribs floating mid-span that only engage for extra resistance once the tread compresses further — same idea as commercial dual-stage inserts.</w:t>
            </w:r>
          </w:p>
        </w:tc>
      </w:tr>
    </w:tbl>
    <w:p>
      <w:pPr>
        <w:pStyle w:val="Heading1"/>
        <w:spacing w:after="150" w:before="300"/>
      </w:pPr>
      <w:r>
        <w:t xml:space="preserve">Material &amp;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TPU durometer</w:t>
            </w:r>
          </w:p>
        </w:tc>
        <w:tc>
          <w:tcPr>
            <w:tcW w:type="dxa" w:w="6960"/>
            <w:tcMar>
              <w:top w:type="dxa" w:w="80"/>
              <w:left w:type="dxa" w:w="120"/>
              <w:bottom w:type="dxa" w:w="80"/>
              <w:right w:type="dxa" w:w="120"/>
            </w:tcMar>
          </w:tcPr>
          <w:p>
            <w:r>
              <w:rPr>
                <w:b w:val="false"/>
                <w:bCs w:val="false"/>
                <w:color w:val="000000"/>
                <w:sz w:val="20"/>
                <w:szCs w:val="20"/>
              </w:rPr>
              <w:t xml:space="preserve">60A (very soft) → 70A → 85A → 95A (firm). Lower = softer/bouncier but harder to print and less durable. This is the “last resort” softness lever — try wall thickness and fill first.</w:t>
            </w:r>
          </w:p>
        </w:tc>
      </w:tr>
      <w:tr>
        <w:tc>
          <w:tcPr>
            <w:tcW w:type="dxa" w:w="2400"/>
            <w:tcMar>
              <w:top w:type="dxa" w:w="80"/>
              <w:left w:type="dxa" w:w="120"/>
              <w:bottom w:type="dxa" w:w="80"/>
              <w:right w:type="dxa" w:w="120"/>
            </w:tcMar>
          </w:tcPr>
          <w:p>
            <w:r>
              <w:rPr>
                <w:b w:val="false"/>
                <w:bCs w:val="false"/>
                <w:color w:val="000000"/>
                <w:sz w:val="20"/>
                <w:szCs w:val="20"/>
              </w:rPr>
              <w:t xml:space="preserve">Nozzle diameter</w:t>
            </w:r>
          </w:p>
        </w:tc>
        <w:tc>
          <w:tcPr>
            <w:tcW w:type="dxa" w:w="6960"/>
            <w:tcMar>
              <w:top w:type="dxa" w:w="80"/>
              <w:left w:type="dxa" w:w="120"/>
              <w:bottom w:type="dxa" w:w="80"/>
              <w:right w:type="dxa" w:w="120"/>
            </w:tcMar>
          </w:tcPr>
          <w:p>
            <w:r>
              <w:rPr>
                <w:b w:val="false"/>
                <w:bCs w:val="false"/>
                <w:color w:val="000000"/>
                <w:sz w:val="20"/>
                <w:szCs w:val="20"/>
              </w:rPr>
              <w:t xml:space="preserve">0.4 / 0.6 / 0.8 / 1.0mm. Walls are sized in whole extrusion lines for your nozzle; the app flags any wall too thin to print cleanly.</w:t>
            </w:r>
          </w:p>
        </w:tc>
      </w:tr>
    </w:tbl>
    <w:p>
      <w:pPr>
        <w:pStyle w:val="Heading1"/>
        <w:spacing w:after="150" w:before="300"/>
      </w:pPr>
      <w:r>
        <w:t xml:space="preserve">Tread Lugs on OD</w:t>
      </w:r>
    </w:p>
    <w:p>
      <w:pPr>
        <w:spacing w:after="120"/>
      </w:pPr>
      <w:r>
        <w:t xml:space="preserve">Optional raised lugs on the outer surface for extra tire-carcass grip/shape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Control</w:t>
            </w:r>
          </w:p>
        </w:tc>
        <w:tc>
          <w:tcPr>
            <w:tcW w:type="dxa" w:w="6960"/>
            <w:shd w:fill="2F5233" w:color="auto" w:val="clear"/>
            <w:tcMar>
              <w:top w:type="dxa" w:w="80"/>
              <w:left w:type="dxa" w:w="120"/>
              <w:bottom w:type="dxa" w:w="80"/>
              <w:right w:type="dxa" w:w="120"/>
            </w:tcMar>
          </w:tcPr>
          <w:p>
            <w:r>
              <w:rPr>
                <w:b/>
                <w:bCs/>
                <w:color w:val="FFFFFF"/>
                <w:sz w:val="20"/>
                <w:szCs w:val="20"/>
              </w:rPr>
              <w:t xml:space="preserve">What it does</w:t>
            </w:r>
          </w:p>
        </w:tc>
      </w:tr>
      <w:tr>
        <w:tc>
          <w:tcPr>
            <w:tcW w:type="dxa" w:w="2400"/>
            <w:tcMar>
              <w:top w:type="dxa" w:w="80"/>
              <w:left w:type="dxa" w:w="120"/>
              <w:bottom w:type="dxa" w:w="80"/>
              <w:right w:type="dxa" w:w="120"/>
            </w:tcMar>
          </w:tcPr>
          <w:p>
            <w:r>
              <w:rPr>
                <w:b w:val="false"/>
                <w:bCs w:val="false"/>
                <w:color w:val="000000"/>
                <w:sz w:val="20"/>
                <w:szCs w:val="20"/>
              </w:rPr>
              <w:t xml:space="preserve">Shape</w:t>
            </w:r>
          </w:p>
        </w:tc>
        <w:tc>
          <w:tcPr>
            <w:tcW w:type="dxa" w:w="6960"/>
            <w:tcMar>
              <w:top w:type="dxa" w:w="80"/>
              <w:left w:type="dxa" w:w="120"/>
              <w:bottom w:type="dxa" w:w="80"/>
              <w:right w:type="dxa" w:w="120"/>
            </w:tcMar>
          </w:tcPr>
          <w:p>
            <w:r>
              <w:rPr>
                <w:b w:val="false"/>
                <w:bCs w:val="false"/>
                <w:color w:val="000000"/>
                <w:sz w:val="20"/>
                <w:szCs w:val="20"/>
              </w:rPr>
              <w:t xml:space="preserve">None, half circles, triangles, sawtooth, square tabs, trapezoid, or small round studs.</w:t>
            </w:r>
          </w:p>
        </w:tc>
      </w:tr>
      <w:tr>
        <w:tc>
          <w:tcPr>
            <w:tcW w:type="dxa" w:w="2400"/>
            <w:tcMar>
              <w:top w:type="dxa" w:w="80"/>
              <w:left w:type="dxa" w:w="120"/>
              <w:bottom w:type="dxa" w:w="80"/>
              <w:right w:type="dxa" w:w="120"/>
            </w:tcMar>
          </w:tcPr>
          <w:p>
            <w:r>
              <w:rPr>
                <w:b w:val="false"/>
                <w:bCs w:val="false"/>
                <w:color w:val="000000"/>
                <w:sz w:val="20"/>
                <w:szCs w:val="20"/>
              </w:rPr>
              <w:t xml:space="preserve">Count</w:t>
            </w:r>
          </w:p>
        </w:tc>
        <w:tc>
          <w:tcPr>
            <w:tcW w:type="dxa" w:w="6960"/>
            <w:tcMar>
              <w:top w:type="dxa" w:w="80"/>
              <w:left w:type="dxa" w:w="120"/>
              <w:bottom w:type="dxa" w:w="80"/>
              <w:right w:type="dxa" w:w="120"/>
            </w:tcMar>
          </w:tcPr>
          <w:p>
            <w:r>
              <w:rPr>
                <w:b w:val="false"/>
                <w:bCs w:val="false"/>
                <w:color w:val="000000"/>
                <w:sz w:val="20"/>
                <w:szCs w:val="20"/>
              </w:rPr>
              <w:t xml:space="preserve">Number of lugs around the circumference.</w:t>
            </w:r>
          </w:p>
        </w:tc>
      </w:tr>
      <w:tr>
        <w:tc>
          <w:tcPr>
            <w:tcW w:type="dxa" w:w="2400"/>
            <w:tcMar>
              <w:top w:type="dxa" w:w="80"/>
              <w:left w:type="dxa" w:w="120"/>
              <w:bottom w:type="dxa" w:w="80"/>
              <w:right w:type="dxa" w:w="120"/>
            </w:tcMar>
          </w:tcPr>
          <w:p>
            <w:r>
              <w:rPr>
                <w:b w:val="false"/>
                <w:bCs w:val="false"/>
                <w:color w:val="000000"/>
                <w:sz w:val="20"/>
                <w:szCs w:val="20"/>
              </w:rPr>
              <w:t xml:space="preserve">Size</w:t>
            </w:r>
          </w:p>
        </w:tc>
        <w:tc>
          <w:tcPr>
            <w:tcW w:type="dxa" w:w="6960"/>
            <w:tcMar>
              <w:top w:type="dxa" w:w="80"/>
              <w:left w:type="dxa" w:w="120"/>
              <w:bottom w:type="dxa" w:w="80"/>
              <w:right w:type="dxa" w:w="120"/>
            </w:tcMar>
          </w:tcPr>
          <w:p>
            <w:r>
              <w:rPr>
                <w:b w:val="false"/>
                <w:bCs w:val="false"/>
                <w:color w:val="000000"/>
                <w:sz w:val="20"/>
                <w:szCs w:val="20"/>
              </w:rPr>
              <w:t xml:space="preserve">Lug size. Lugs sit proud of the outer wall and raise the effective OD — watch the OD readout against your tire's actual cavity.</w:t>
            </w:r>
          </w:p>
        </w:tc>
      </w:tr>
    </w:tbl>
    <w:p>
      <w:pPr>
        <w:pStyle w:val="Heading1"/>
        <w:spacing w:after="150" w:before="300"/>
      </w:pPr>
      <w:r>
        <w:t xml:space="preserve">Unit Converter</w:t>
      </w:r>
    </w:p>
    <w:p>
      <w:pPr>
        <w:spacing w:after="120"/>
      </w:pPr>
      <w:r>
        <w:t xml:space="preserve">A quick mm ↔ inch helper for wheel sizing (type into either field). Handy reference: 1.9" wheel ≈ 48.26mm, 2.2" ≈ 55.88mm, 1" = 25.4mm.</w:t>
      </w:r>
    </w:p>
    <w:p>
      <w:pPr>
        <w:pStyle w:val="Heading1"/>
        <w:spacing w:after="150" w:before="300"/>
      </w:pPr>
      <w:r>
        <w:t xml:space="preserve">Tuning Cheat Sheet — Softer Tread Without Losing Durability</w:t>
      </w:r>
    </w:p>
    <w:p>
      <w:pPr>
        <w:spacing w:after="120"/>
      </w:pPr>
      <w:r>
        <w:t xml:space="preserve">Strongest lever to weakest, in order:</w:t>
      </w:r>
    </w:p>
    <w:p>
      <w:pPr>
        <w:pStyle w:val="ListParagraph"/>
        <w:numPr>
          <w:ilvl w:val="0"/>
          <w:numId w:val="1"/>
        </w:numPr>
        <w:spacing w:after="80"/>
      </w:pPr>
      <w:r>
        <w:t xml:space="preserve">Reduce wall thickness (biggest single lever)</w:t>
      </w:r>
    </w:p>
    <w:p>
      <w:pPr>
        <w:pStyle w:val="ListParagraph"/>
        <w:numPr>
          <w:ilvl w:val="0"/>
          <w:numId w:val="1"/>
        </w:numPr>
        <w:spacing w:after="80"/>
      </w:pPr>
      <w:r>
        <w:t xml:space="preserve">Widen the Hub width (with Root anchor set to Wall depth) — keeps side-hill support via a wide hub band while the tread itself stays open and compliant</w:t>
      </w:r>
    </w:p>
    <w:p>
      <w:pPr>
        <w:pStyle w:val="ListParagraph"/>
        <w:numPr>
          <w:ilvl w:val="0"/>
          <w:numId w:val="1"/>
        </w:numPr>
        <w:spacing w:after="80"/>
      </w:pPr>
      <w:r>
        <w:t xml:space="preserve">Lower shape fill / reduce cells per row</w:t>
      </w:r>
    </w:p>
    <w:p>
      <w:pPr>
        <w:pStyle w:val="ListParagraph"/>
        <w:numPr>
          <w:ilvl w:val="0"/>
          <w:numId w:val="1"/>
        </w:numPr>
        <w:spacing w:after="80"/>
      </w:pPr>
      <w:r>
        <w:t xml:space="preserve">Drop TPU durometer (70A or lower) — last resort, trades away durability</w:t>
      </w:r>
    </w:p>
    <w:p>
      <w:pPr>
        <w:pStyle w:val="Heading1"/>
        <w:spacing w:after="150" w:before="300"/>
      </w:pPr>
      <w:r>
        <w:t xml:space="preserve">Slicer Settings — Printing the Exported STL</w:t>
      </w:r>
    </w:p>
    <w:p>
      <w:pPr>
        <w:spacing w:after="120"/>
      </w:pPr>
      <w:r>
        <w:rPr>
          <w:b/>
          <w:bCs/>
        </w:rPr>
        <w:t xml:space="preserve">Start with the Compliant TPU Printing Guide (guides\TPU_Printing_Guide.md).</w:t>
      </w:r>
      <w:r>
        <w:t xml:space="preserve"> It is the tested, current reference for wall loops, top/bottom shells, infill density and pattern, brim and the hub band, and it supersedes this section wherever they overlap. Before printing, run the checks in the Slicer Preview Check Guide (guides\Slicer_Preview_Check_Guide.md). What remains below is the per-slicer detail the new guides don’t repeat: where the wall-generator setting lives, line width, and Bowden vs. direct-drive.</w:t>
      </w:r>
    </w:p>
    <w:p>
      <w:pPr>
        <w:spacing w:after="120"/>
      </w:pPr>
      <w:r>
        <w:t xml:space="preserve">Everything above happens in the app and is baked into the mesh. This section covers what to set in your slicer (Cura, PrusaSlicer, OrcaSlicer, etc.) once you’ve exported the STL — it’s the print-side companion to the app walkthrough above. Reference point for the numbers below: the app’s current default is 95A TPU at a 0.4mm nozzle, with wall thickness (base or narrowed) able to run as thin as the app’s 0.6mm floor.</w:t>
      </w:r>
    </w:p>
    <w:p>
      <w:pPr>
        <w:pStyle w:val="Heading2"/>
        <w:spacing w:after="120" w:before="240"/>
      </w:pPr>
      <w:r>
        <w:t xml:space="preserve">Wall generator: use Arachne, not Classic</w:t>
      </w:r>
    </w:p>
    <w:p>
      <w:pPr>
        <w:spacing w:after="120"/>
      </w:pPr>
      <w:r>
        <w:t xml:space="preserve">Arachne is a wall-generation mode that varies the extrusion line width along each wall instead of printing every perimeter loop at one fixed width. This project’s inserts lean on it more than a typical print: continuous radial wall tapers, the axial “recede the wall” chamfer, and narrowed-wall bevels all vary wall thickness smoothly rather than in clean multiples of a line width. A fixed-width (“Classic”) wall generator handles that badly — it tends to leave gaps where a wall pinches down below one line width, or over-extrude/blob where a wall lands between two whole line counts. Arachne fills the actual local thickness instead, and tapers wall count up/down where thickness changes rather than jumping abruptly.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F5233" w:color="auto" w:val="clear"/>
            <w:tcMar>
              <w:top w:type="dxa" w:w="80"/>
              <w:left w:type="dxa" w:w="120"/>
              <w:bottom w:type="dxa" w:w="80"/>
              <w:right w:type="dxa" w:w="120"/>
            </w:tcMar>
          </w:tcPr>
          <w:p>
            <w:r>
              <w:rPr>
                <w:b/>
                <w:bCs/>
                <w:color w:val="FFFFFF"/>
                <w:sz w:val="20"/>
                <w:szCs w:val="20"/>
              </w:rPr>
              <w:t xml:space="preserve">Slicer</w:t>
            </w:r>
          </w:p>
        </w:tc>
        <w:tc>
          <w:tcPr>
            <w:tcW w:type="dxa" w:w="3480"/>
            <w:shd w:fill="2F5233" w:color="auto" w:val="clear"/>
            <w:tcMar>
              <w:top w:type="dxa" w:w="80"/>
              <w:left w:type="dxa" w:w="120"/>
              <w:bottom w:type="dxa" w:w="80"/>
              <w:right w:type="dxa" w:w="120"/>
            </w:tcMar>
          </w:tcPr>
          <w:p>
            <w:r>
              <w:rPr>
                <w:b/>
                <w:bCs/>
                <w:color w:val="FFFFFF"/>
                <w:sz w:val="20"/>
                <w:szCs w:val="20"/>
              </w:rPr>
              <w:t xml:space="preserve">Setting name / location</w:t>
            </w:r>
          </w:p>
        </w:tc>
        <w:tc>
          <w:tcPr>
            <w:tcW w:type="dxa" w:w="3480"/>
            <w:shd w:fill="2F5233" w:color="auto" w:val="clear"/>
            <w:tcMar>
              <w:top w:type="dxa" w:w="80"/>
              <w:left w:type="dxa" w:w="120"/>
              <w:bottom w:type="dxa" w:w="80"/>
              <w:right w:type="dxa" w:w="120"/>
            </w:tcMar>
          </w:tcPr>
          <w:p>
            <w:r>
              <w:rPr>
                <w:b/>
                <w:bCs/>
                <w:color w:val="FFFFFF"/>
                <w:sz w:val="20"/>
                <w:szCs w:val="20"/>
              </w:rPr>
              <w:t xml:space="preserve">Default</w:t>
            </w:r>
          </w:p>
        </w:tc>
      </w:tr>
      <w:tr>
        <w:tc>
          <w:tcPr>
            <w:tcW w:type="dxa" w:w="2400"/>
            <w:tcMar>
              <w:top w:type="dxa" w:w="80"/>
              <w:left w:type="dxa" w:w="120"/>
              <w:bottom w:type="dxa" w:w="80"/>
              <w:right w:type="dxa" w:w="120"/>
            </w:tcMar>
          </w:tcPr>
          <w:p>
            <w:r>
              <w:rPr>
                <w:b w:val="false"/>
                <w:bCs w:val="false"/>
                <w:color w:val="000000"/>
                <w:sz w:val="20"/>
                <w:szCs w:val="20"/>
              </w:rPr>
              <w:t xml:space="preserve">PrusaSlicer</w:t>
            </w:r>
          </w:p>
        </w:tc>
        <w:tc>
          <w:tcPr>
            <w:tcW w:type="dxa" w:w="3480"/>
            <w:tcMar>
              <w:top w:type="dxa" w:w="80"/>
              <w:left w:type="dxa" w:w="120"/>
              <w:bottom w:type="dxa" w:w="80"/>
              <w:right w:type="dxa" w:w="120"/>
            </w:tcMar>
          </w:tcPr>
          <w:p>
            <w:r>
              <w:rPr>
                <w:b w:val="false"/>
                <w:bCs w:val="false"/>
                <w:color w:val="000000"/>
                <w:sz w:val="20"/>
                <w:szCs w:val="20"/>
              </w:rPr>
              <w:t xml:space="preserve">Print Settings → Layer and perimeters → Perimeter generator</w:t>
            </w:r>
          </w:p>
        </w:tc>
        <w:tc>
          <w:tcPr>
            <w:tcW w:type="dxa" w:w="3480"/>
            <w:tcMar>
              <w:top w:type="dxa" w:w="80"/>
              <w:left w:type="dxa" w:w="120"/>
              <w:bottom w:type="dxa" w:w="80"/>
              <w:right w:type="dxa" w:w="120"/>
            </w:tcMar>
          </w:tcPr>
          <w:p>
            <w:r>
              <w:rPr>
                <w:b w:val="false"/>
                <w:bCs w:val="false"/>
                <w:color w:val="000000"/>
                <w:sz w:val="20"/>
                <w:szCs w:val="20"/>
              </w:rPr>
              <w:t xml:space="preserve">Arachne by default since 2.5.0 — just confirm it hasn’t been switched to Classic</w:t>
            </w:r>
          </w:p>
        </w:tc>
      </w:tr>
      <w:tr>
        <w:tc>
          <w:tcPr>
            <w:tcW w:type="dxa" w:w="2400"/>
            <w:tcMar>
              <w:top w:type="dxa" w:w="80"/>
              <w:left w:type="dxa" w:w="120"/>
              <w:bottom w:type="dxa" w:w="80"/>
              <w:right w:type="dxa" w:w="120"/>
            </w:tcMar>
          </w:tcPr>
          <w:p>
            <w:r>
              <w:rPr>
                <w:b w:val="false"/>
                <w:bCs w:val="false"/>
                <w:color w:val="000000"/>
                <w:sz w:val="20"/>
                <w:szCs w:val="20"/>
              </w:rPr>
              <w:t xml:space="preserve">Cura</w:t>
            </w:r>
          </w:p>
        </w:tc>
        <w:tc>
          <w:tcPr>
            <w:tcW w:type="dxa" w:w="3480"/>
            <w:tcMar>
              <w:top w:type="dxa" w:w="80"/>
              <w:left w:type="dxa" w:w="120"/>
              <w:bottom w:type="dxa" w:w="80"/>
              <w:right w:type="dxa" w:w="120"/>
            </w:tcMar>
          </w:tcPr>
          <w:p>
            <w:r>
              <w:rPr>
                <w:b w:val="false"/>
                <w:bCs w:val="false"/>
                <w:color w:val="000000"/>
                <w:sz w:val="20"/>
                <w:szCs w:val="20"/>
              </w:rPr>
              <w:t xml:space="preserve">Shell category → Wall Generator (Custom/Expert print setup)</w:t>
            </w:r>
          </w:p>
        </w:tc>
        <w:tc>
          <w:tcPr>
            <w:tcW w:type="dxa" w:w="3480"/>
            <w:tcMar>
              <w:top w:type="dxa" w:w="80"/>
              <w:left w:type="dxa" w:w="120"/>
              <w:bottom w:type="dxa" w:w="80"/>
              <w:right w:type="dxa" w:w="120"/>
            </w:tcMar>
          </w:tcPr>
          <w:p>
            <w:r>
              <w:rPr>
                <w:b w:val="false"/>
                <w:bCs w:val="false"/>
                <w:color w:val="000000"/>
                <w:sz w:val="20"/>
                <w:szCs w:val="20"/>
              </w:rPr>
              <w:t xml:space="preserve">Arachne by default since Cura 5.0</w:t>
            </w:r>
          </w:p>
        </w:tc>
      </w:tr>
      <w:tr>
        <w:tc>
          <w:tcPr>
            <w:tcW w:type="dxa" w:w="2400"/>
            <w:tcMar>
              <w:top w:type="dxa" w:w="80"/>
              <w:left w:type="dxa" w:w="120"/>
              <w:bottom w:type="dxa" w:w="80"/>
              <w:right w:type="dxa" w:w="120"/>
            </w:tcMar>
          </w:tcPr>
          <w:p>
            <w:r>
              <w:rPr>
                <w:b w:val="false"/>
                <w:bCs w:val="false"/>
                <w:color w:val="000000"/>
                <w:sz w:val="20"/>
                <w:szCs w:val="20"/>
              </w:rPr>
              <w:t xml:space="preserve">OrcaSlicer / Bambu Studio / Anycubic Slicer (Orca-based)</w:t>
            </w:r>
          </w:p>
        </w:tc>
        <w:tc>
          <w:tcPr>
            <w:tcW w:type="dxa" w:w="3480"/>
            <w:tcMar>
              <w:top w:type="dxa" w:w="80"/>
              <w:left w:type="dxa" w:w="120"/>
              <w:bottom w:type="dxa" w:w="80"/>
              <w:right w:type="dxa" w:w="120"/>
            </w:tcMar>
          </w:tcPr>
          <w:p>
            <w:r>
              <w:rPr>
                <w:b w:val="false"/>
                <w:bCs w:val="false"/>
                <w:color w:val="000000"/>
                <w:sz w:val="20"/>
                <w:szCs w:val="20"/>
              </w:rPr>
              <w:t xml:space="preserve">Quality settings → Wall generator (wall_generator, Advanced/Expert mode)</w:t>
            </w:r>
          </w:p>
        </w:tc>
        <w:tc>
          <w:tcPr>
            <w:tcW w:type="dxa" w:w="3480"/>
            <w:tcMar>
              <w:top w:type="dxa" w:w="80"/>
              <w:left w:type="dxa" w:w="120"/>
              <w:bottom w:type="dxa" w:w="80"/>
              <w:right w:type="dxa" w:w="120"/>
            </w:tcMar>
          </w:tcPr>
          <w:p>
            <w:r>
              <w:rPr>
                <w:b w:val="false"/>
                <w:bCs w:val="false"/>
                <w:color w:val="000000"/>
                <w:sz w:val="20"/>
                <w:szCs w:val="20"/>
              </w:rPr>
              <w:t xml:space="preserve">Check the profile you’re using — some inherited/older profiles still ship set to Classic even in current versions, so this is the one worth double-checking rather than assuming</w:t>
            </w:r>
          </w:p>
        </w:tc>
      </w:tr>
    </w:tbl>
    <w:p>
      <w:pPr>
        <w:spacing w:after="120"/>
      </w:pPr>
    </w:p>
    <w:p>
      <w:pPr>
        <w:spacing w:after="120"/>
      </w:pPr>
      <w:r>
        <w:t xml:space="preserve">Whichever slicer you’re on, this is worth a one-time check per printer profile rather than trusting the install default — profiles get cloned and imported, and the setting doesn’t always carry forward correctly.</w:t>
      </w:r>
    </w:p>
    <w:p>
      <w:pPr>
        <w:pStyle w:val="Heading2"/>
        <w:spacing w:after="120" w:before="240"/>
      </w:pPr>
      <w:r>
        <w:t xml:space="preserve">Line width vs. the app’s wall values</w:t>
      </w:r>
    </w:p>
    <w:p>
      <w:pPr>
        <w:spacing w:after="120"/>
      </w:pPr>
      <w:r>
        <w:t xml:space="preserve">The app’s wall numbers (base wall, narrowed wall down to 0.6mm, hub band width) are real physical thicknesses in the mesh — the slicer doesn’t invent or resize them. What the slicer’s line width setting controls is how cleanly those thicknesses translate into actual extruded lines. With Arachne on, line width can flex to fit almost any wall thickness above roughly nozzle diameter × 0.5, so the stock 0.4mm line width (matching a 0.4mm nozzle) works fine even at the app’s 0.6mm floor — about 1.5 lines, which Arachne handles natively. With Classic wall generation, a 0.6mm wall at 0.4mm line width rounds to either one skinny/over-extruded line or two thin ones depending on the slicer’s tolerance settings, which is the gap-or-blob problem above. If you ever do print with Classic mode (intentionally or because a profile defaulted to it), reducing line width to roughly 0.3–0.35mm gives it a better chance at the thinnest walls this app produces.</w:t>
      </w:r>
    </w:p>
    <w:p>
      <w:pPr>
        <w:pStyle w:val="Heading2"/>
        <w:spacing w:after="120" w:before="240"/>
      </w:pPr>
      <w:r>
        <w:t xml:space="preserve">TPU print settings (95A, 0.4mm nozzle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3900"/>
      </w:tblGrid>
      <w:tr>
        <w:trPr>
          <w:tblHeader/>
        </w:trPr>
        <w:tc>
          <w:tcPr>
            <w:tcW w:type="dxa" w:w="2200"/>
            <w:shd w:fill="2F5233" w:color="auto" w:val="clear"/>
            <w:tcMar>
              <w:top w:type="dxa" w:w="80"/>
              <w:left w:type="dxa" w:w="120"/>
              <w:bottom w:type="dxa" w:w="80"/>
              <w:right w:type="dxa" w:w="120"/>
            </w:tcMar>
          </w:tcPr>
          <w:p>
            <w:r>
              <w:rPr>
                <w:b/>
                <w:bCs/>
                <w:color w:val="FFFFFF"/>
                <w:sz w:val="20"/>
                <w:szCs w:val="20"/>
              </w:rPr>
              <w:t xml:space="preserve">Setting</w:t>
            </w:r>
          </w:p>
        </w:tc>
        <w:tc>
          <w:tcPr>
            <w:tcW w:type="dxa" w:w="3260"/>
            <w:shd w:fill="2F5233" w:color="auto" w:val="clear"/>
            <w:tcMar>
              <w:top w:type="dxa" w:w="80"/>
              <w:left w:type="dxa" w:w="120"/>
              <w:bottom w:type="dxa" w:w="80"/>
              <w:right w:type="dxa" w:w="120"/>
            </w:tcMar>
          </w:tcPr>
          <w:p>
            <w:r>
              <w:rPr>
                <w:b/>
                <w:bCs/>
                <w:color w:val="FFFFFF"/>
                <w:sz w:val="20"/>
                <w:szCs w:val="20"/>
              </w:rPr>
              <w:t xml:space="preserve">Recommended range</w:t>
            </w:r>
          </w:p>
        </w:tc>
        <w:tc>
          <w:tcPr>
            <w:tcW w:type="dxa" w:w="3900"/>
            <w:shd w:fill="2F5233" w:color="auto" w:val="clear"/>
            <w:tcMar>
              <w:top w:type="dxa" w:w="80"/>
              <w:left w:type="dxa" w:w="120"/>
              <w:bottom w:type="dxa" w:w="80"/>
              <w:right w:type="dxa" w:w="120"/>
            </w:tcMar>
          </w:tcPr>
          <w:p>
            <w:r>
              <w:rPr>
                <w:b/>
                <w:bCs/>
                <w:color w:val="FFFFFF"/>
                <w:sz w:val="20"/>
                <w:szCs w:val="20"/>
              </w:rPr>
              <w:t xml:space="preserve">Notes</w:t>
            </w:r>
          </w:p>
        </w:tc>
      </w:tr>
      <w:tr>
        <w:tc>
          <w:tcPr>
            <w:tcW w:type="dxa" w:w="2200"/>
            <w:tcMar>
              <w:top w:type="dxa" w:w="80"/>
              <w:left w:type="dxa" w:w="120"/>
              <w:bottom w:type="dxa" w:w="80"/>
              <w:right w:type="dxa" w:w="120"/>
            </w:tcMar>
          </w:tcPr>
          <w:p>
            <w:r>
              <w:rPr>
                <w:b w:val="false"/>
                <w:bCs w:val="false"/>
                <w:color w:val="000000"/>
                <w:sz w:val="20"/>
                <w:szCs w:val="20"/>
              </w:rPr>
              <w:t xml:space="preserve">Nozzle temperature</w:t>
            </w:r>
          </w:p>
        </w:tc>
        <w:tc>
          <w:tcPr>
            <w:tcW w:type="dxa" w:w="3260"/>
            <w:tcMar>
              <w:top w:type="dxa" w:w="80"/>
              <w:left w:type="dxa" w:w="120"/>
              <w:bottom w:type="dxa" w:w="80"/>
              <w:right w:type="dxa" w:w="120"/>
            </w:tcMar>
          </w:tcPr>
          <w:p>
            <w:r>
              <w:rPr>
                <w:b w:val="false"/>
                <w:bCs w:val="false"/>
                <w:color w:val="000000"/>
                <w:sz w:val="20"/>
                <w:szCs w:val="20"/>
              </w:rPr>
              <w:t xml:space="preserve">220–240°C</w:t>
            </w:r>
          </w:p>
        </w:tc>
        <w:tc>
          <w:tcPr>
            <w:tcW w:type="dxa" w:w="3900"/>
            <w:tcMar>
              <w:top w:type="dxa" w:w="80"/>
              <w:left w:type="dxa" w:w="120"/>
              <w:bottom w:type="dxa" w:w="80"/>
              <w:right w:type="dxa" w:w="120"/>
            </w:tcMar>
          </w:tcPr>
          <w:p>
            <w:r>
              <w:rPr>
                <w:b w:val="false"/>
                <w:bCs w:val="false"/>
                <w:color w:val="000000"/>
                <w:sz w:val="20"/>
                <w:szCs w:val="20"/>
              </w:rPr>
              <w:t xml:space="preserve">Run a temperature tower once per TPU brand/color if you want to dial it in further</w:t>
            </w:r>
          </w:p>
        </w:tc>
      </w:tr>
      <w:tr>
        <w:tc>
          <w:tcPr>
            <w:tcW w:type="dxa" w:w="2200"/>
            <w:tcMar>
              <w:top w:type="dxa" w:w="80"/>
              <w:left w:type="dxa" w:w="120"/>
              <w:bottom w:type="dxa" w:w="80"/>
              <w:right w:type="dxa" w:w="120"/>
            </w:tcMar>
          </w:tcPr>
          <w:p>
            <w:r>
              <w:rPr>
                <w:b w:val="false"/>
                <w:bCs w:val="false"/>
                <w:color w:val="000000"/>
                <w:sz w:val="20"/>
                <w:szCs w:val="20"/>
              </w:rPr>
              <w:t xml:space="preserve">Bed temperature</w:t>
            </w:r>
          </w:p>
        </w:tc>
        <w:tc>
          <w:tcPr>
            <w:tcW w:type="dxa" w:w="3260"/>
            <w:tcMar>
              <w:top w:type="dxa" w:w="80"/>
              <w:left w:type="dxa" w:w="120"/>
              <w:bottom w:type="dxa" w:w="80"/>
              <w:right w:type="dxa" w:w="120"/>
            </w:tcMar>
          </w:tcPr>
          <w:p>
            <w:r>
              <w:rPr>
                <w:b w:val="false"/>
                <w:bCs w:val="false"/>
                <w:color w:val="000000"/>
                <w:sz w:val="20"/>
                <w:szCs w:val="20"/>
              </w:rPr>
              <w:t xml:space="preserve">30–40°C</w:t>
            </w:r>
          </w:p>
        </w:tc>
        <w:tc>
          <w:tcPr>
            <w:tcW w:type="dxa" w:w="3900"/>
            <w:tcMar>
              <w:top w:type="dxa" w:w="80"/>
              <w:left w:type="dxa" w:w="120"/>
              <w:bottom w:type="dxa" w:w="80"/>
              <w:right w:type="dxa" w:w="120"/>
            </w:tcMar>
          </w:tcPr>
          <w:p>
            <w:r>
              <w:rPr>
                <w:b w:val="false"/>
                <w:bCs w:val="false"/>
                <w:color w:val="000000"/>
                <w:sz w:val="20"/>
                <w:szCs w:val="20"/>
              </w:rPr>
              <w:t xml:space="preserve">A glue stick or PEI-style surface helps adhesion more than bed temp does with TPU</w:t>
            </w:r>
          </w:p>
        </w:tc>
      </w:tr>
      <w:tr>
        <w:tc>
          <w:tcPr>
            <w:tcW w:type="dxa" w:w="2200"/>
            <w:tcMar>
              <w:top w:type="dxa" w:w="80"/>
              <w:left w:type="dxa" w:w="120"/>
              <w:bottom w:type="dxa" w:w="80"/>
              <w:right w:type="dxa" w:w="120"/>
            </w:tcMar>
          </w:tcPr>
          <w:p>
            <w:r>
              <w:rPr>
                <w:b w:val="false"/>
                <w:bCs w:val="false"/>
                <w:color w:val="000000"/>
                <w:sz w:val="20"/>
                <w:szCs w:val="20"/>
              </w:rPr>
              <w:t xml:space="preserve">Print speed (normal layers)</w:t>
            </w:r>
          </w:p>
        </w:tc>
        <w:tc>
          <w:tcPr>
            <w:tcW w:type="dxa" w:w="3260"/>
            <w:tcMar>
              <w:top w:type="dxa" w:w="80"/>
              <w:left w:type="dxa" w:w="120"/>
              <w:bottom w:type="dxa" w:w="80"/>
              <w:right w:type="dxa" w:w="120"/>
            </w:tcMar>
          </w:tcPr>
          <w:p>
            <w:r>
              <w:rPr>
                <w:b w:val="false"/>
                <w:bCs w:val="false"/>
                <w:color w:val="000000"/>
                <w:sz w:val="20"/>
                <w:szCs w:val="20"/>
              </w:rPr>
              <w:t xml:space="preserve">30–40 mm/s</w:t>
            </w:r>
          </w:p>
        </w:tc>
        <w:tc>
          <w:tcPr>
            <w:tcW w:type="dxa" w:w="3900"/>
            <w:tcMar>
              <w:top w:type="dxa" w:w="80"/>
              <w:left w:type="dxa" w:w="120"/>
              <w:bottom w:type="dxa" w:w="80"/>
              <w:right w:type="dxa" w:w="120"/>
            </w:tcMar>
          </w:tcPr>
          <w:p>
            <w:r>
              <w:rPr>
                <w:b w:val="false"/>
                <w:bCs w:val="false"/>
                <w:color w:val="000000"/>
                <w:sz w:val="20"/>
                <w:szCs w:val="20"/>
              </w:rPr>
              <w:t xml:space="preserve">This project’s parts are all thin/variable-wall geometry — favor the slow end</w:t>
            </w:r>
          </w:p>
        </w:tc>
      </w:tr>
      <w:tr>
        <w:tc>
          <w:tcPr>
            <w:tcW w:type="dxa" w:w="2200"/>
            <w:tcMar>
              <w:top w:type="dxa" w:w="80"/>
              <w:left w:type="dxa" w:w="120"/>
              <w:bottom w:type="dxa" w:w="80"/>
              <w:right w:type="dxa" w:w="120"/>
            </w:tcMar>
          </w:tcPr>
          <w:p>
            <w:r>
              <w:rPr>
                <w:b w:val="false"/>
                <w:bCs w:val="false"/>
                <w:color w:val="000000"/>
                <w:sz w:val="20"/>
                <w:szCs w:val="20"/>
              </w:rPr>
              <w:t xml:space="preserve">First layer speed</w:t>
            </w:r>
          </w:p>
        </w:tc>
        <w:tc>
          <w:tcPr>
            <w:tcW w:type="dxa" w:w="3260"/>
            <w:tcMar>
              <w:top w:type="dxa" w:w="80"/>
              <w:left w:type="dxa" w:w="120"/>
              <w:bottom w:type="dxa" w:w="80"/>
              <w:right w:type="dxa" w:w="120"/>
            </w:tcMar>
          </w:tcPr>
          <w:p>
            <w:r>
              <w:rPr>
                <w:b w:val="false"/>
                <w:bCs w:val="false"/>
                <w:color w:val="000000"/>
                <w:sz w:val="20"/>
                <w:szCs w:val="20"/>
              </w:rPr>
              <w:t xml:space="preserve">15–20 mm/s</w:t>
            </w:r>
          </w:p>
        </w:tc>
        <w:tc>
          <w:tcPr>
            <w:tcW w:type="dxa" w:w="3900"/>
            <w:tcMar>
              <w:top w:type="dxa" w:w="80"/>
              <w:left w:type="dxa" w:w="120"/>
              <w:bottom w:type="dxa" w:w="80"/>
              <w:right w:type="dxa" w:w="120"/>
            </w:tcMar>
          </w:tcPr>
          <w:p>
            <w:r>
              <w:rPr>
                <w:b w:val="false"/>
                <w:bCs w:val="false"/>
                <w:color w:val="000000"/>
                <w:sz w:val="20"/>
                <w:szCs w:val="20"/>
              </w:rPr>
              <w:t xml:space="preserve"/>
            </w:r>
          </w:p>
        </w:tc>
      </w:tr>
      <w:tr>
        <w:tc>
          <w:tcPr>
            <w:tcW w:type="dxa" w:w="2200"/>
            <w:tcMar>
              <w:top w:type="dxa" w:w="80"/>
              <w:left w:type="dxa" w:w="120"/>
              <w:bottom w:type="dxa" w:w="80"/>
              <w:right w:type="dxa" w:w="120"/>
            </w:tcMar>
          </w:tcPr>
          <w:p>
            <w:r>
              <w:rPr>
                <w:b w:val="false"/>
                <w:bCs w:val="false"/>
                <w:color w:val="000000"/>
                <w:sz w:val="20"/>
                <w:szCs w:val="20"/>
              </w:rPr>
              <w:t xml:space="preserve">Travel speed</w:t>
            </w:r>
          </w:p>
        </w:tc>
        <w:tc>
          <w:tcPr>
            <w:tcW w:type="dxa" w:w="3260"/>
            <w:tcMar>
              <w:top w:type="dxa" w:w="80"/>
              <w:left w:type="dxa" w:w="120"/>
              <w:bottom w:type="dxa" w:w="80"/>
              <w:right w:type="dxa" w:w="120"/>
            </w:tcMar>
          </w:tcPr>
          <w:p>
            <w:r>
              <w:rPr>
                <w:b w:val="false"/>
                <w:bCs w:val="false"/>
                <w:color w:val="000000"/>
                <w:sz w:val="20"/>
                <w:szCs w:val="20"/>
              </w:rPr>
              <w:t xml:space="preserve">80–100 mm/s</w:t>
            </w:r>
          </w:p>
        </w:tc>
        <w:tc>
          <w:tcPr>
            <w:tcW w:type="dxa" w:w="3900"/>
            <w:tcMar>
              <w:top w:type="dxa" w:w="80"/>
              <w:left w:type="dxa" w:w="120"/>
              <w:bottom w:type="dxa" w:w="80"/>
              <w:right w:type="dxa" w:w="120"/>
            </w:tcMar>
          </w:tcPr>
          <w:p>
            <w:r>
              <w:rPr>
                <w:b w:val="false"/>
                <w:bCs w:val="false"/>
                <w:color w:val="000000"/>
                <w:sz w:val="20"/>
                <w:szCs w:val="20"/>
              </w:rPr>
              <w:t xml:space="preserve">Keeps stringing down between the pattern’s open cells</w:t>
            </w:r>
          </w:p>
        </w:tc>
      </w:tr>
      <w:tr>
        <w:tc>
          <w:tcPr>
            <w:tcW w:type="dxa" w:w="2200"/>
            <w:tcMar>
              <w:top w:type="dxa" w:w="80"/>
              <w:left w:type="dxa" w:w="120"/>
              <w:bottom w:type="dxa" w:w="80"/>
              <w:right w:type="dxa" w:w="120"/>
            </w:tcMar>
          </w:tcPr>
          <w:p>
            <w:r>
              <w:rPr>
                <w:b w:val="false"/>
                <w:bCs w:val="false"/>
                <w:color w:val="000000"/>
                <w:sz w:val="20"/>
                <w:szCs w:val="20"/>
              </w:rPr>
              <w:t xml:space="preserve">Retraction distance</w:t>
            </w:r>
          </w:p>
        </w:tc>
        <w:tc>
          <w:tcPr>
            <w:tcW w:type="dxa" w:w="3260"/>
            <w:tcMar>
              <w:top w:type="dxa" w:w="80"/>
              <w:left w:type="dxa" w:w="120"/>
              <w:bottom w:type="dxa" w:w="80"/>
              <w:right w:type="dxa" w:w="120"/>
            </w:tcMar>
          </w:tcPr>
          <w:p>
            <w:r>
              <w:rPr>
                <w:b w:val="false"/>
                <w:bCs w:val="false"/>
                <w:color w:val="000000"/>
                <w:sz w:val="20"/>
                <w:szCs w:val="20"/>
              </w:rPr>
              <w:t xml:space="preserve">1–2mm (direct-drive) / 4–7mm (Bowden)</w:t>
            </w:r>
          </w:p>
        </w:tc>
        <w:tc>
          <w:tcPr>
            <w:tcW w:type="dxa" w:w="3900"/>
            <w:tcMar>
              <w:top w:type="dxa" w:w="80"/>
              <w:left w:type="dxa" w:w="120"/>
              <w:bottom w:type="dxa" w:w="80"/>
              <w:right w:type="dxa" w:w="120"/>
            </w:tcMar>
          </w:tcPr>
          <w:p>
            <w:r>
              <w:rPr>
                <w:b w:val="false"/>
                <w:bCs w:val="false"/>
                <w:color w:val="000000"/>
                <w:sz w:val="20"/>
                <w:szCs w:val="20"/>
              </w:rPr>
              <w:t xml:space="preserve">See Bowden vs. direct-drive below — the setting most often left at a non-flexible default by mistake</w:t>
            </w:r>
          </w:p>
        </w:tc>
      </w:tr>
      <w:tr>
        <w:tc>
          <w:tcPr>
            <w:tcW w:type="dxa" w:w="2200"/>
            <w:tcMar>
              <w:top w:type="dxa" w:w="80"/>
              <w:left w:type="dxa" w:w="120"/>
              <w:bottom w:type="dxa" w:w="80"/>
              <w:right w:type="dxa" w:w="120"/>
            </w:tcMar>
          </w:tcPr>
          <w:p>
            <w:r>
              <w:rPr>
                <w:b w:val="false"/>
                <w:bCs w:val="false"/>
                <w:color w:val="000000"/>
                <w:sz w:val="20"/>
                <w:szCs w:val="20"/>
              </w:rPr>
              <w:t xml:space="preserve">Retraction speed</w:t>
            </w:r>
          </w:p>
        </w:tc>
        <w:tc>
          <w:tcPr>
            <w:tcW w:type="dxa" w:w="3260"/>
            <w:tcMar>
              <w:top w:type="dxa" w:w="80"/>
              <w:left w:type="dxa" w:w="120"/>
              <w:bottom w:type="dxa" w:w="80"/>
              <w:right w:type="dxa" w:w="120"/>
            </w:tcMar>
          </w:tcPr>
          <w:p>
            <w:r>
              <w:rPr>
                <w:b w:val="false"/>
                <w:bCs w:val="false"/>
                <w:color w:val="000000"/>
                <w:sz w:val="20"/>
                <w:szCs w:val="20"/>
              </w:rPr>
              <w:t xml:space="preserve">~20 mm/s (direct-drive) / 40–60 mm/s (Bowden)</w:t>
            </w:r>
          </w:p>
        </w:tc>
        <w:tc>
          <w:tcPr>
            <w:tcW w:type="dxa" w:w="3900"/>
            <w:tcMar>
              <w:top w:type="dxa" w:w="80"/>
              <w:left w:type="dxa" w:w="120"/>
              <w:bottom w:type="dxa" w:w="80"/>
              <w:right w:type="dxa" w:w="120"/>
            </w:tcMar>
          </w:tcPr>
          <w:p>
            <w:r>
              <w:rPr>
                <w:b w:val="false"/>
                <w:bCs w:val="false"/>
                <w:color w:val="000000"/>
                <w:sz w:val="20"/>
                <w:szCs w:val="20"/>
              </w:rPr>
              <w:t xml:space="preserve"/>
            </w:r>
          </w:p>
        </w:tc>
      </w:tr>
      <w:tr>
        <w:tc>
          <w:tcPr>
            <w:tcW w:type="dxa" w:w="2200"/>
            <w:tcMar>
              <w:top w:type="dxa" w:w="80"/>
              <w:left w:type="dxa" w:w="120"/>
              <w:bottom w:type="dxa" w:w="80"/>
              <w:right w:type="dxa" w:w="120"/>
            </w:tcMar>
          </w:tcPr>
          <w:p>
            <w:r>
              <w:rPr>
                <w:b w:val="false"/>
                <w:bCs w:val="false"/>
                <w:color w:val="000000"/>
                <w:sz w:val="20"/>
                <w:szCs w:val="20"/>
              </w:rPr>
              <w:t xml:space="preserve">Cooling fan</w:t>
            </w:r>
          </w:p>
        </w:tc>
        <w:tc>
          <w:tcPr>
            <w:tcW w:type="dxa" w:w="3260"/>
            <w:tcMar>
              <w:top w:type="dxa" w:w="80"/>
              <w:left w:type="dxa" w:w="120"/>
              <w:bottom w:type="dxa" w:w="80"/>
              <w:right w:type="dxa" w:w="120"/>
            </w:tcMar>
          </w:tcPr>
          <w:p>
            <w:r>
              <w:rPr>
                <w:b w:val="false"/>
                <w:bCs w:val="false"/>
                <w:color w:val="000000"/>
                <w:sz w:val="20"/>
                <w:szCs w:val="20"/>
              </w:rPr>
              <w:t xml:space="preserve">40–70%</w:t>
            </w:r>
          </w:p>
        </w:tc>
        <w:tc>
          <w:tcPr>
            <w:tcW w:type="dxa" w:w="3900"/>
            <w:tcMar>
              <w:top w:type="dxa" w:w="80"/>
              <w:left w:type="dxa" w:w="120"/>
              <w:bottom w:type="dxa" w:w="80"/>
              <w:right w:type="dxa" w:w="120"/>
            </w:tcMar>
          </w:tcPr>
          <w:p>
            <w:r>
              <w:rPr>
                <w:b w:val="false"/>
                <w:bCs w:val="false"/>
                <w:color w:val="000000"/>
                <w:sz w:val="20"/>
                <w:szCs w:val="20"/>
              </w:rPr>
              <w:t xml:space="preserve">Lower (40–50%) for stronger layer bonding on load-bearing struts/springs; higher only where bridging/overhangs need it</w:t>
            </w:r>
          </w:p>
        </w:tc>
      </w:tr>
    </w:tbl>
    <w:p>
      <w:pPr>
        <w:spacing w:after="120"/>
      </w:pPr>
    </w:p>
    <w:p>
      <w:pPr>
        <w:pStyle w:val="Heading2"/>
        <w:spacing w:after="120" w:before="240"/>
      </w:pPr>
      <w:r>
        <w:t xml:space="preserve">Direct-drive vs. Bowden</w:t>
      </w:r>
    </w:p>
    <w:p>
      <w:pPr>
        <w:spacing w:after="120"/>
      </w:pPr>
      <w:r>
        <w:t xml:space="preserve">The app’s Material &amp; Printing panel already flags this as advisory; here’s the fuller version for the slicer side. Direct-drive handles 95A TPU at 0.4mm reliably at normal speed with minimal retraction (0.5–1.5mm). Bowden setups need noticeably more retraction (4–7mm, at higher speed) to clear the longer tube path, and should also slow down specifically through retractions and sharp direction changes — that’s where a Bowden setup is most likely to skip steps or blob on a flexible filament, more than during a straight run. Keep the PTFE tube short and well-seated at both ends; a loose fitting or long unsupported run is a common source of Bowden-TPU jams that reads as a “bad settings” problem but is really mechanical.</w:t>
      </w:r>
    </w:p>
    <w:p>
      <w:pPr>
        <w:spacing w:after="120"/>
      </w:pPr>
      <w:r>
        <w:rPr>
          <w:b/>
          <w:bCs/>
        </w:rPr>
        <w:t xml:space="preserve">One counter-intuitive point worth remembering: </w:t>
      </w:r>
      <w:r>
        <w:t xml:space="preserve">Softer durometers are riskier than firmer ones on Bowden, not the other way around. 95A is close to the practical minimum for a Bowden setup — 85A and below tends to compress and jam in the tube before it ever reaches the hot end. If you’re tempted to drop to 70A/60A per the Tuning Cheat Sheet above and you’re on a Bowden printer, that’s the point where a direct-drive setup (or a short/upgraded Bowden path) stops being optional.</w:t>
      </w:r>
    </w:p>
    <w:p>
      <w:pPr>
        <w:pStyle w:val="Heading2"/>
        <w:spacing w:after="120" w:before="240"/>
      </w:pPr>
      <w:r>
        <w:t xml:space="preserve">Thin/variable-wall printability checklist</w:t>
      </w:r>
    </w:p>
    <w:p>
      <w:pPr>
        <w:spacing w:after="120"/>
      </w:pPr>
      <w:r>
        <w:t xml:space="preserve">Before slicing a fresh export from this app, especially anything using the continuous wall taper, the axial chamfer, or a narrowed wall near the 0.6mm floor:</w:t>
      </w:r>
    </w:p>
    <w:p>
      <w:pPr>
        <w:pStyle w:val="ListParagraph"/>
        <w:numPr>
          <w:ilvl w:val="0"/>
          <w:numId w:val="1"/>
        </w:numPr>
        <w:spacing w:after="80"/>
      </w:pPr>
      <w:r>
        <w:t xml:space="preserve">☐ Wall generator is set to Arachne, not Classic (check the table above — don’t assume the profile you’re using has it on)</w:t>
      </w:r>
    </w:p>
    <w:p>
      <w:pPr>
        <w:pStyle w:val="ListParagraph"/>
        <w:numPr>
          <w:ilvl w:val="0"/>
          <w:numId w:val="1"/>
        </w:numPr>
        <w:spacing w:after="80"/>
      </w:pPr>
      <w:r>
        <w:t xml:space="preserve">☐ Line width matches your nozzle (0.4mm nozzle → ~0.4mm line width is fine under Arachne; drop to ~0.3–0.35mm only if you’re stuck on Classic mode)</w:t>
      </w:r>
    </w:p>
    <w:p>
      <w:pPr>
        <w:pStyle w:val="ListParagraph"/>
        <w:numPr>
          <w:ilvl w:val="0"/>
          <w:numId w:val="1"/>
        </w:numPr>
        <w:spacing w:after="80"/>
      </w:pPr>
      <w:r>
        <w:t xml:space="preserve">☐ Retraction distance/speed match your extruder type (direct-drive vs. Bowden table above), not a generic PLA/PETG default left over from another profile</w:t>
      </w:r>
    </w:p>
    <w:p>
      <w:pPr>
        <w:pStyle w:val="ListParagraph"/>
        <w:numPr>
          <w:ilvl w:val="0"/>
          <w:numId w:val="1"/>
        </w:numPr>
        <w:spacing w:after="80"/>
      </w:pPr>
      <w:r>
        <w:t xml:space="preserve">☐ Print speed is on the slower end (30–40 mm/s) given how much of this part’s structure is thin struts/springs rather than solid infill</w:t>
      </w:r>
    </w:p>
    <w:p>
      <w:pPr>
        <w:pStyle w:val="ListParagraph"/>
        <w:numPr>
          <w:ilvl w:val="0"/>
          <w:numId w:val="1"/>
        </w:numPr>
        <w:spacing w:after="80"/>
      </w:pPr>
      <w:r>
        <w:t xml:space="preserve">☐ Top and bottom shell layers = 0, brim inner + outer, low-density gyroid infill — see the Compliant TPU Printing Guide</w:t>
      </w:r>
    </w:p>
    <w:p>
      <w:pPr>
        <w:pStyle w:val="ListParagraph"/>
        <w:numPr>
          <w:ilvl w:val="0"/>
          <w:numId w:val="1"/>
        </w:numPr>
        <w:spacing w:after="80"/>
      </w:pPr>
      <w:r>
        <w:t xml:space="preserve">☐ Preview checked for orphan beads, roots in sparse infill and hub notches — see the Slicer Preview Check Guide</w:t>
      </w:r>
    </w:p>
    <w:p>
      <w:pPr>
        <w:pStyle w:val="Heading2"/>
        <w:spacing w:after="120" w:before="240"/>
      </w:pPr>
      <w:r>
        <w:t xml:space="preserve">What NOT to change in the slicer to tune softness</w:t>
      </w:r>
    </w:p>
    <w:p>
      <w:pPr>
        <w:spacing w:after="120"/>
      </w:pPr>
      <w:r>
        <w:t xml:space="preserve">This is now covered, with measured numbers, in the Compliant TPU Printing Guide (§1 “The one idea to keep in mind”, §3 “Why only two wall loops”, §5 “Low infill with gyroid or TPMS”). The short version:</w:t>
      </w:r>
    </w:p>
    <w:p>
      <w:pPr>
        <w:pStyle w:val="ListParagraph"/>
        <w:numPr>
          <w:ilvl w:val="0"/>
          <w:numId w:val="1"/>
        </w:numPr>
        <w:spacing w:after="80"/>
      </w:pPr>
      <w:r>
        <w:t xml:space="preserve">For the lattice shapes, softness is set in the app — wall thickness, pattern, cells/rows, durometer, in the order of the Tuning Cheat Sheet above. Slicer infill % does nothing to a ribbon that is already two beads wide.</w:t>
      </w:r>
    </w:p>
    <w:p>
      <w:pPr>
        <w:pStyle w:val="ListParagraph"/>
        <w:numPr>
          <w:ilvl w:val="0"/>
          <w:numId w:val="1"/>
        </w:numPr>
        <w:spacing w:after="80"/>
      </w:pPr>
      <w:r>
        <w:t xml:space="preserve">Keep wall loops at 2. Raising it doesn’t thicken the ribbons, but it does add perimeter to sealed bands and the hub band, which stiffens the part.</w:t>
      </w:r>
    </w:p>
    <w:p>
      <w:pPr>
        <w:pStyle w:val="ListParagraph"/>
        <w:numPr>
          <w:ilvl w:val="0"/>
          <w:numId w:val="1"/>
        </w:numPr>
        <w:spacing w:after="80"/>
      </w:pPr>
      <w:r>
        <w:t xml:space="preserve">Set Top and Bottom shell layers = 0 for compliant inserts; shells cap sealed bands into a stiff drum.</w:t>
      </w:r>
    </w:p>
    <w:p>
      <w:pPr>
        <w:pStyle w:val="ListParagraph"/>
        <w:numPr>
          <w:ilvl w:val="0"/>
          <w:numId w:val="1"/>
        </w:numPr>
        <w:spacing w:after="80"/>
      </w:pPr>
      <w:r>
        <w:t xml:space="preserve">Don’t raise infill to strengthen the hub. The hub band is already solid wall beads; 100 % infill only fills the outer sealed band.</w:t>
      </w:r>
    </w:p>
    <w:p>
      <w:pPr>
        <w:spacing w:after="120"/>
      </w:pPr>
      <w:r>
        <w:rPr>
          <w:b/>
          <w:bCs/>
        </w:rPr>
        <w:t xml:space="preserve">The deliberate exception: the “Solid — slicer infill decides” Shape.</w:t>
      </w:r>
      <w:r>
        <w:t xml:space="preserve"> Picking Solid as the main Shape (Cell Pattern → Shape, at any Rows count) exports a sealed, bare volume with no internal cell geometry at all, so the slicer’s own infill % and pattern become the printed structure. Set Wall loops = 0 and Top and Bottom shell layers = 0, then tune with infill density (3–10 %, 3.8 % proven, gyroid) as described in the TPU guide’s §5. The two Solid build-character presets set this up as a starting point.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2026-08-29T04:56:30.109Z</dcterms:created>
  <dcterms:modified xsi:type="dcterms:W3CDTF">2026-08-29T04:56:30.126Z</dcterms:modified>
</cp:coreProperties>
</file>

<file path=docProps/custom.xml><?xml version="1.0" encoding="utf-8"?>
<Properties xmlns="http://schemas.openxmlformats.org/officeDocument/2006/custom-properties" xmlns:vt="http://schemas.openxmlformats.org/officeDocument/2006/docPropsVTypes"/>
</file>