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215E4" w14:textId="77777777" w:rsidR="0074788C" w:rsidRPr="0074788C" w:rsidRDefault="0074788C" w:rsidP="0074788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4788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TOP 5 Análogos da Clofazimina – Análise Integrada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6"/>
        <w:gridCol w:w="1343"/>
        <w:gridCol w:w="2113"/>
        <w:gridCol w:w="737"/>
        <w:gridCol w:w="976"/>
        <w:gridCol w:w="2619"/>
      </w:tblGrid>
      <w:tr w:rsidR="0074788C" w:rsidRPr="0074788C" w14:paraId="137FC179" w14:textId="77777777" w:rsidTr="0074788C">
        <w:tc>
          <w:tcPr>
            <w:tcW w:w="0" w:type="auto"/>
            <w:hideMark/>
          </w:tcPr>
          <w:p w14:paraId="049E9EB4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Rank</w:t>
            </w:r>
          </w:p>
        </w:tc>
        <w:tc>
          <w:tcPr>
            <w:tcW w:w="0" w:type="auto"/>
            <w:hideMark/>
          </w:tcPr>
          <w:p w14:paraId="543B0ED2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Ligante (CID)</w:t>
            </w:r>
          </w:p>
        </w:tc>
        <w:tc>
          <w:tcPr>
            <w:tcW w:w="0" w:type="auto"/>
            <w:hideMark/>
          </w:tcPr>
          <w:p w14:paraId="78B4674D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Média de Afinidade (kcal/mol)</w:t>
            </w:r>
          </w:p>
        </w:tc>
        <w:tc>
          <w:tcPr>
            <w:tcW w:w="0" w:type="auto"/>
            <w:hideMark/>
          </w:tcPr>
          <w:p w14:paraId="3BEBED15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CV (%)</w:t>
            </w:r>
          </w:p>
        </w:tc>
        <w:tc>
          <w:tcPr>
            <w:tcW w:w="0" w:type="auto"/>
            <w:hideMark/>
          </w:tcPr>
          <w:p w14:paraId="64F31F0F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RMSD (Å)</w:t>
            </w:r>
          </w:p>
        </w:tc>
        <w:tc>
          <w:tcPr>
            <w:tcW w:w="0" w:type="auto"/>
            <w:hideMark/>
          </w:tcPr>
          <w:p w14:paraId="5DFB79E2" w14:textId="77777777" w:rsidR="0074788C" w:rsidRPr="0074788C" w:rsidRDefault="0074788C" w:rsidP="0074788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Destaques</w:t>
            </w:r>
          </w:p>
        </w:tc>
      </w:tr>
      <w:tr w:rsidR="0074788C" w:rsidRPr="0074788C" w14:paraId="420ED11B" w14:textId="77777777" w:rsidTr="0074788C">
        <w:tc>
          <w:tcPr>
            <w:tcW w:w="0" w:type="auto"/>
            <w:hideMark/>
          </w:tcPr>
          <w:p w14:paraId="272E07CA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hideMark/>
          </w:tcPr>
          <w:p w14:paraId="2BED9924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163193487</w:t>
            </w:r>
          </w:p>
        </w:tc>
        <w:tc>
          <w:tcPr>
            <w:tcW w:w="0" w:type="auto"/>
            <w:hideMark/>
          </w:tcPr>
          <w:p w14:paraId="5518BBD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7.85</w:t>
            </w:r>
          </w:p>
        </w:tc>
        <w:tc>
          <w:tcPr>
            <w:tcW w:w="0" w:type="auto"/>
            <w:hideMark/>
          </w:tcPr>
          <w:p w14:paraId="30EBF98F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4.50</w:t>
            </w:r>
          </w:p>
        </w:tc>
        <w:tc>
          <w:tcPr>
            <w:tcW w:w="0" w:type="auto"/>
            <w:hideMark/>
          </w:tcPr>
          <w:p w14:paraId="67D1A87B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4.466</w:t>
            </w:r>
          </w:p>
        </w:tc>
        <w:tc>
          <w:tcPr>
            <w:tcW w:w="0" w:type="auto"/>
            <w:hideMark/>
          </w:tcPr>
          <w:p w14:paraId="71396619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Melhor afinidade + boa estabilidade</w:t>
            </w:r>
          </w:p>
        </w:tc>
      </w:tr>
      <w:tr w:rsidR="0074788C" w:rsidRPr="0074788C" w14:paraId="16498A53" w14:textId="77777777" w:rsidTr="0074788C">
        <w:tc>
          <w:tcPr>
            <w:tcW w:w="0" w:type="auto"/>
            <w:hideMark/>
          </w:tcPr>
          <w:p w14:paraId="4D78D4BF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0" w:type="auto"/>
            <w:hideMark/>
          </w:tcPr>
          <w:p w14:paraId="2F86785B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5318528</w:t>
            </w:r>
          </w:p>
        </w:tc>
        <w:tc>
          <w:tcPr>
            <w:tcW w:w="0" w:type="auto"/>
            <w:hideMark/>
          </w:tcPr>
          <w:p w14:paraId="54C41426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7.60</w:t>
            </w:r>
          </w:p>
        </w:tc>
        <w:tc>
          <w:tcPr>
            <w:tcW w:w="0" w:type="auto"/>
            <w:hideMark/>
          </w:tcPr>
          <w:p w14:paraId="0145CE86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5.58</w:t>
            </w:r>
          </w:p>
        </w:tc>
        <w:tc>
          <w:tcPr>
            <w:tcW w:w="0" w:type="auto"/>
            <w:hideMark/>
          </w:tcPr>
          <w:p w14:paraId="6E10A08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5.973</w:t>
            </w:r>
          </w:p>
        </w:tc>
        <w:tc>
          <w:tcPr>
            <w:tcW w:w="0" w:type="auto"/>
            <w:hideMark/>
          </w:tcPr>
          <w:p w14:paraId="0EEC3212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Alta afinidade + estabilidade aceitável</w:t>
            </w:r>
          </w:p>
        </w:tc>
      </w:tr>
      <w:tr w:rsidR="0074788C" w:rsidRPr="0074788C" w14:paraId="3EC2E3A7" w14:textId="77777777" w:rsidTr="0074788C">
        <w:tc>
          <w:tcPr>
            <w:tcW w:w="0" w:type="auto"/>
            <w:hideMark/>
          </w:tcPr>
          <w:p w14:paraId="1E4C44F5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0" w:type="auto"/>
            <w:hideMark/>
          </w:tcPr>
          <w:p w14:paraId="6EFE2452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101426128</w:t>
            </w:r>
          </w:p>
        </w:tc>
        <w:tc>
          <w:tcPr>
            <w:tcW w:w="0" w:type="auto"/>
            <w:hideMark/>
          </w:tcPr>
          <w:p w14:paraId="26C45C45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7.45</w:t>
            </w:r>
          </w:p>
        </w:tc>
        <w:tc>
          <w:tcPr>
            <w:tcW w:w="0" w:type="auto"/>
            <w:hideMark/>
          </w:tcPr>
          <w:p w14:paraId="56148DEB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4.74</w:t>
            </w:r>
          </w:p>
        </w:tc>
        <w:tc>
          <w:tcPr>
            <w:tcW w:w="0" w:type="auto"/>
            <w:hideMark/>
          </w:tcPr>
          <w:p w14:paraId="6D955BD1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4.834</w:t>
            </w:r>
          </w:p>
        </w:tc>
        <w:tc>
          <w:tcPr>
            <w:tcW w:w="0" w:type="auto"/>
            <w:hideMark/>
          </w:tcPr>
          <w:p w14:paraId="15F04CE6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Afinidade sólida + RMSD moderado</w:t>
            </w:r>
          </w:p>
        </w:tc>
      </w:tr>
      <w:tr w:rsidR="0074788C" w:rsidRPr="0074788C" w14:paraId="68BA01AF" w14:textId="77777777" w:rsidTr="0074788C">
        <w:tc>
          <w:tcPr>
            <w:tcW w:w="0" w:type="auto"/>
            <w:hideMark/>
          </w:tcPr>
          <w:p w14:paraId="55A45E2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0" w:type="auto"/>
            <w:hideMark/>
          </w:tcPr>
          <w:p w14:paraId="1DBDBC64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5315801</w:t>
            </w:r>
          </w:p>
        </w:tc>
        <w:tc>
          <w:tcPr>
            <w:tcW w:w="0" w:type="auto"/>
            <w:hideMark/>
          </w:tcPr>
          <w:p w14:paraId="12F10C37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7.45</w:t>
            </w:r>
          </w:p>
        </w:tc>
        <w:tc>
          <w:tcPr>
            <w:tcW w:w="0" w:type="auto"/>
            <w:hideMark/>
          </w:tcPr>
          <w:p w14:paraId="446E632F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8.54</w:t>
            </w:r>
          </w:p>
        </w:tc>
        <w:tc>
          <w:tcPr>
            <w:tcW w:w="0" w:type="auto"/>
            <w:hideMark/>
          </w:tcPr>
          <w:p w14:paraId="59DFEDAC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5.459</w:t>
            </w:r>
          </w:p>
        </w:tc>
        <w:tc>
          <w:tcPr>
            <w:tcW w:w="0" w:type="auto"/>
            <w:hideMark/>
          </w:tcPr>
          <w:p w14:paraId="7EADB307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Afinidade boa, leve perda de estabilidade</w:t>
            </w:r>
          </w:p>
        </w:tc>
      </w:tr>
      <w:tr w:rsidR="0074788C" w:rsidRPr="0074788C" w14:paraId="203372EB" w14:textId="77777777" w:rsidTr="0074788C">
        <w:tc>
          <w:tcPr>
            <w:tcW w:w="0" w:type="auto"/>
            <w:hideMark/>
          </w:tcPr>
          <w:p w14:paraId="42DF9760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0" w:type="auto"/>
            <w:hideMark/>
          </w:tcPr>
          <w:p w14:paraId="16BF20EF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443684</w:t>
            </w:r>
          </w:p>
        </w:tc>
        <w:tc>
          <w:tcPr>
            <w:tcW w:w="0" w:type="auto"/>
            <w:hideMark/>
          </w:tcPr>
          <w:p w14:paraId="3D5F293F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6.70</w:t>
            </w:r>
          </w:p>
        </w:tc>
        <w:tc>
          <w:tcPr>
            <w:tcW w:w="0" w:type="auto"/>
            <w:hideMark/>
          </w:tcPr>
          <w:p w14:paraId="06BE271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2.11</w:t>
            </w:r>
          </w:p>
        </w:tc>
        <w:tc>
          <w:tcPr>
            <w:tcW w:w="0" w:type="auto"/>
            <w:hideMark/>
          </w:tcPr>
          <w:p w14:paraId="47EF331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3.768</w:t>
            </w:r>
          </w:p>
        </w:tc>
        <w:tc>
          <w:tcPr>
            <w:tcW w:w="0" w:type="auto"/>
            <w:hideMark/>
          </w:tcPr>
          <w:p w14:paraId="3E88C67D" w14:textId="77777777" w:rsidR="0074788C" w:rsidRPr="0074788C" w:rsidRDefault="0074788C" w:rsidP="0074788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4788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Maior similaridade com clofazimina</w:t>
            </w:r>
          </w:p>
        </w:tc>
      </w:tr>
    </w:tbl>
    <w:p w14:paraId="50028F7D" w14:textId="07A9374D" w:rsidR="0074788C" w:rsidRPr="0081391D" w:rsidRDefault="00A465CC" w:rsidP="0074788C">
      <w:pPr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0C32A3" wp14:editId="1827C236">
            <wp:simplePos x="0" y="0"/>
            <wp:positionH relativeFrom="column">
              <wp:posOffset>-332509</wp:posOffset>
            </wp:positionH>
            <wp:positionV relativeFrom="paragraph">
              <wp:posOffset>170006</wp:posOffset>
            </wp:positionV>
            <wp:extent cx="6100346" cy="3027218"/>
            <wp:effectExtent l="0" t="0" r="0" b="190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46" cy="302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B287E" w14:textId="4F3989A6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6D62944D" w14:textId="79E02F9A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288F1ADC" w14:textId="150643C4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2C626183" w14:textId="5543B7FA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21F5E669" w14:textId="719515E5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7F75E487" w14:textId="68CD1670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1EE2A938" w14:textId="78829DB6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45E93D30" w14:textId="1FDD2DD6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03342497" w14:textId="026C7107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1538C78E" w14:textId="3E4C4AEE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0FE34F18" w14:textId="1E5E09B0" w:rsidR="0009381E" w:rsidRPr="0081391D" w:rsidRDefault="0009381E" w:rsidP="0009381E">
      <w:pPr>
        <w:rPr>
          <w:rFonts w:ascii="Arial" w:hAnsi="Arial" w:cs="Arial"/>
          <w:sz w:val="24"/>
          <w:szCs w:val="24"/>
        </w:rPr>
      </w:pPr>
    </w:p>
    <w:p w14:paraId="488CC3D6" w14:textId="77777777" w:rsidR="0009381E" w:rsidRPr="0009381E" w:rsidRDefault="0009381E" w:rsidP="00C81CA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9381E">
        <w:rPr>
          <w:rFonts w:ascii="Arial" w:eastAsia="Times New Roman" w:hAnsi="Arial" w:cs="Arial"/>
          <w:sz w:val="24"/>
          <w:szCs w:val="24"/>
          <w:lang w:eastAsia="pt-BR"/>
        </w:rPr>
        <w:t>A estabilidade dos compostos foi avaliada com base no coeficiente de variação (CV%), utilizando um intervalo de confiança (IC) de 95%. O objetivo foi identificar compostos com uma baixa variabilidade nas interações entre os alvos Kv1.3 e PPAR-γ. Os compostos que apresentaram um CV% abaixo de 5% foram considerados como tendo excelente estabilidade, indicando um bom equilíbrio nas interações com ambos os alvos.</w:t>
      </w:r>
    </w:p>
    <w:p w14:paraId="3CF973C0" w14:textId="6AD22E30" w:rsidR="00C81CA3" w:rsidRPr="0081391D" w:rsidRDefault="0009381E" w:rsidP="009F349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Entre os compostos analisados, destacam-se três que possuem CV% abaixo de 5%: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CID_443684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CID_163193487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CID_101426128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. O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CID_443684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 se destaca com um CV% de 2.1%, indicando uma estabilidade excelente. Embora sua afinidade média de 6.70 kcal/mol seja ligeiramente inferior à de outros compostos, sua excelente estabilidade e semelhança estrutural com a clofazimina fazem dele um candidato promissor. Já o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CID_163193487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, com um CV% de 4.5%, combina uma alta afinidade média de 7.85 kcal/mol com uma boa estabilidade, mostrando-se uma excelente opção para ações duais. O </w:t>
      </w:r>
      <w:r w:rsidRPr="0009381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CID_101426128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t xml:space="preserve">, com CV% de 4.7%, também apresenta afinidade sólida (7.45 kcal/mol) e estabilidade, sugerindo que este composto é eficaz nas interações </w:t>
      </w:r>
      <w:r w:rsidRPr="0009381E">
        <w:rPr>
          <w:rFonts w:ascii="Arial" w:eastAsia="Times New Roman" w:hAnsi="Arial" w:cs="Arial"/>
          <w:sz w:val="24"/>
          <w:szCs w:val="24"/>
          <w:lang w:eastAsia="pt-BR"/>
        </w:rPr>
        <w:lastRenderedPageBreak/>
        <w:t>com os dois alvos, embora seu RMSD seja ligeiramente maior em comparação com os outros.</w:t>
      </w:r>
    </w:p>
    <w:p w14:paraId="57597C7D" w14:textId="46D38DF3" w:rsidR="0009381E" w:rsidRPr="0081391D" w:rsidRDefault="0009381E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 xml:space="preserve">O objetivo deste estudo é avaliar análogos estruturais da clofazimina com ênfase em sua afinidade de ligação com os alvos Kv1.3 e PPAR-γ, estabilidade dos resultados, medida por desvio padrão e coeficiente de variação (CV%), e semelhança estrutural com a clofazimina original, determinada pelo valor de RMSD (Root </w:t>
      </w:r>
      <w:proofErr w:type="spellStart"/>
      <w:r w:rsidRPr="0081391D">
        <w:rPr>
          <w:rFonts w:ascii="Arial" w:hAnsi="Arial" w:cs="Arial"/>
          <w:sz w:val="24"/>
          <w:szCs w:val="24"/>
        </w:rPr>
        <w:t>Mean</w:t>
      </w:r>
      <w:proofErr w:type="spellEnd"/>
      <w:r w:rsidRPr="0081391D">
        <w:rPr>
          <w:rFonts w:ascii="Arial" w:hAnsi="Arial" w:cs="Arial"/>
          <w:sz w:val="24"/>
          <w:szCs w:val="24"/>
        </w:rPr>
        <w:t xml:space="preserve"> Square </w:t>
      </w:r>
      <w:proofErr w:type="spellStart"/>
      <w:r w:rsidRPr="0081391D">
        <w:rPr>
          <w:rFonts w:ascii="Arial" w:hAnsi="Arial" w:cs="Arial"/>
          <w:sz w:val="24"/>
          <w:szCs w:val="24"/>
        </w:rPr>
        <w:t>Deviation</w:t>
      </w:r>
      <w:proofErr w:type="spellEnd"/>
      <w:r w:rsidRPr="0081391D">
        <w:rPr>
          <w:rFonts w:ascii="Arial" w:hAnsi="Arial" w:cs="Arial"/>
          <w:sz w:val="24"/>
          <w:szCs w:val="24"/>
        </w:rPr>
        <w:t>).</w:t>
      </w:r>
    </w:p>
    <w:p w14:paraId="1F09A1ED" w14:textId="77777777" w:rsidR="0009381E" w:rsidRPr="0081391D" w:rsidRDefault="0009381E" w:rsidP="00C81CA3">
      <w:pPr>
        <w:pStyle w:val="Ttulo3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Afinidade de Ligação</w:t>
      </w:r>
    </w:p>
    <w:p w14:paraId="4F95C4C2" w14:textId="77777777" w:rsidR="0009381E" w:rsidRPr="0081391D" w:rsidRDefault="0009381E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A análise da afinidade de ligação revelou que os melhores candidatos apresentam valores de energia entre -8.4 e -6.4 kcal/mol, o que sugere interações potenciais fortes com os alvos investigados. Os compostos mais promissores, com valores de afinidade médios, foram:</w:t>
      </w:r>
    </w:p>
    <w:p w14:paraId="3FAA2124" w14:textId="77777777" w:rsidR="0009381E" w:rsidRPr="0081391D" w:rsidRDefault="0009381E" w:rsidP="00C81CA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81391D">
        <w:rPr>
          <w:rStyle w:val="Forte"/>
          <w:rFonts w:ascii="Arial" w:hAnsi="Arial" w:cs="Arial"/>
          <w:sz w:val="24"/>
          <w:szCs w:val="24"/>
        </w:rPr>
        <w:t>CID_163193487</w:t>
      </w:r>
      <w:r w:rsidRPr="0081391D">
        <w:rPr>
          <w:rFonts w:ascii="Arial" w:hAnsi="Arial" w:cs="Arial"/>
          <w:sz w:val="24"/>
          <w:szCs w:val="24"/>
        </w:rPr>
        <w:t xml:space="preserve"> (7.85 kcal/mol)</w:t>
      </w:r>
    </w:p>
    <w:p w14:paraId="7CC633AC" w14:textId="77777777" w:rsidR="0009381E" w:rsidRPr="0081391D" w:rsidRDefault="0009381E" w:rsidP="00C81CA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81391D">
        <w:rPr>
          <w:rStyle w:val="Forte"/>
          <w:rFonts w:ascii="Arial" w:hAnsi="Arial" w:cs="Arial"/>
          <w:sz w:val="24"/>
          <w:szCs w:val="24"/>
        </w:rPr>
        <w:t>CID_5318528</w:t>
      </w:r>
      <w:r w:rsidRPr="0081391D">
        <w:rPr>
          <w:rFonts w:ascii="Arial" w:hAnsi="Arial" w:cs="Arial"/>
          <w:sz w:val="24"/>
          <w:szCs w:val="24"/>
        </w:rPr>
        <w:t xml:space="preserve"> (7.6 kcal/mol)</w:t>
      </w:r>
    </w:p>
    <w:p w14:paraId="5AB94644" w14:textId="77777777" w:rsidR="0009381E" w:rsidRPr="0081391D" w:rsidRDefault="0009381E" w:rsidP="00C81CA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81391D">
        <w:rPr>
          <w:rStyle w:val="Forte"/>
          <w:rFonts w:ascii="Arial" w:hAnsi="Arial" w:cs="Arial"/>
          <w:sz w:val="24"/>
          <w:szCs w:val="24"/>
        </w:rPr>
        <w:t>CID_5315801</w:t>
      </w:r>
      <w:r w:rsidRPr="0081391D">
        <w:rPr>
          <w:rFonts w:ascii="Arial" w:hAnsi="Arial" w:cs="Arial"/>
          <w:sz w:val="24"/>
          <w:szCs w:val="24"/>
        </w:rPr>
        <w:t xml:space="preserve"> e </w:t>
      </w:r>
      <w:r w:rsidRPr="0081391D">
        <w:rPr>
          <w:rStyle w:val="Forte"/>
          <w:rFonts w:ascii="Arial" w:hAnsi="Arial" w:cs="Arial"/>
          <w:sz w:val="24"/>
          <w:szCs w:val="24"/>
        </w:rPr>
        <w:t>CID_101426128</w:t>
      </w:r>
      <w:r w:rsidRPr="0081391D">
        <w:rPr>
          <w:rFonts w:ascii="Arial" w:hAnsi="Arial" w:cs="Arial"/>
          <w:sz w:val="24"/>
          <w:szCs w:val="24"/>
        </w:rPr>
        <w:t xml:space="preserve"> (7.45 kcal/mol).</w:t>
      </w:r>
      <w:r w:rsidRPr="0081391D">
        <w:rPr>
          <w:rFonts w:ascii="Arial" w:hAnsi="Arial" w:cs="Arial"/>
          <w:sz w:val="24"/>
          <w:szCs w:val="24"/>
        </w:rPr>
        <w:br/>
        <w:t xml:space="preserve">Estes valores são particularmente indicados para uma triagem inicial in </w:t>
      </w:r>
      <w:proofErr w:type="spellStart"/>
      <w:r w:rsidRPr="0081391D">
        <w:rPr>
          <w:rFonts w:ascii="Arial" w:hAnsi="Arial" w:cs="Arial"/>
          <w:sz w:val="24"/>
          <w:szCs w:val="24"/>
        </w:rPr>
        <w:t>silico</w:t>
      </w:r>
      <w:proofErr w:type="spellEnd"/>
      <w:r w:rsidRPr="0081391D">
        <w:rPr>
          <w:rFonts w:ascii="Arial" w:hAnsi="Arial" w:cs="Arial"/>
          <w:sz w:val="24"/>
          <w:szCs w:val="24"/>
        </w:rPr>
        <w:t xml:space="preserve"> de compostos com boa capacidade de interação com os alvos.</w:t>
      </w:r>
    </w:p>
    <w:p w14:paraId="7B0CFD9A" w14:textId="77777777" w:rsidR="0009381E" w:rsidRPr="0081391D" w:rsidRDefault="0009381E" w:rsidP="00C81CA3">
      <w:pPr>
        <w:pStyle w:val="Ttulo3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Semelhança Estrutural com Clofazimina</w:t>
      </w:r>
    </w:p>
    <w:p w14:paraId="5DE73AD0" w14:textId="59EDF72C" w:rsidR="0001506B" w:rsidRDefault="0009381E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 xml:space="preserve">A análise estrutural, medida pelo RMSD, indicou que a maioria dos análogos apresenta valores superiores a 4.5 Å, o que sugere diferenças significativas em relação à geometria da clofazimina. O composto </w:t>
      </w:r>
      <w:r w:rsidRPr="0081391D">
        <w:rPr>
          <w:rStyle w:val="Forte"/>
          <w:rFonts w:ascii="Arial" w:hAnsi="Arial" w:cs="Arial"/>
          <w:sz w:val="24"/>
          <w:szCs w:val="24"/>
        </w:rPr>
        <w:t>CID_443684</w:t>
      </w:r>
      <w:r w:rsidRPr="0081391D">
        <w:rPr>
          <w:rFonts w:ascii="Arial" w:hAnsi="Arial" w:cs="Arial"/>
          <w:sz w:val="24"/>
          <w:szCs w:val="24"/>
        </w:rPr>
        <w:t xml:space="preserve"> apresentou um valor de RMSD de 3.768 Å, indicando uma estrutura mais semelhante à da clofazimina, sendo o único com uma conformação aceitável para um análogo.</w:t>
      </w:r>
    </w:p>
    <w:p w14:paraId="4D80F31D" w14:textId="77777777" w:rsidR="009F349B" w:rsidRDefault="009F349B" w:rsidP="0001506B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4"/>
          <w:szCs w:val="24"/>
        </w:rPr>
      </w:pPr>
    </w:p>
    <w:p w14:paraId="1651313F" w14:textId="1C42E612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4"/>
          <w:szCs w:val="24"/>
        </w:rPr>
      </w:pPr>
      <w:r w:rsidRPr="0081391D">
        <w:rPr>
          <w:rFonts w:ascii="Arial" w:hAnsi="Arial" w:cs="Arial"/>
          <w:b/>
          <w:bCs/>
          <w:sz w:val="24"/>
          <w:szCs w:val="24"/>
        </w:rPr>
        <w:t xml:space="preserve">Analise </w:t>
      </w:r>
      <w:proofErr w:type="spellStart"/>
      <w:r w:rsidRPr="0081391D">
        <w:rPr>
          <w:rFonts w:ascii="Arial" w:hAnsi="Arial" w:cs="Arial"/>
          <w:b/>
          <w:bCs/>
          <w:sz w:val="24"/>
          <w:szCs w:val="24"/>
        </w:rPr>
        <w:t>ChatGPT</w:t>
      </w:r>
      <w:proofErr w:type="spellEnd"/>
    </w:p>
    <w:p w14:paraId="017F3B04" w14:textId="080DD92C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Ao analisar seus resultados, podemos observar a performance dos compostos em termos de afinidade com os alvos Kv1.3 e PPAR-γ, estabilidade (com base no coeficiente de variação - CV%) e similaridade estrutural com a clofazimina (RMSD). Abaixo estão as principais conclusões baseadas nos dados fornecidos.</w:t>
      </w:r>
    </w:p>
    <w:p w14:paraId="09DDFE56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1. Afinidade Média (Kv1.3 e PPAR-γ)</w:t>
      </w:r>
    </w:p>
    <w:p w14:paraId="2472CF6C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A afinidade média dos compostos varia entre 6.7 e 7.85 kcal/mol. Compostos com afinidade média mais alta, como CID_163193487 (7.85 kcal/mol), apresentam uma interação sólida com os dois alvos, o que é desejável para a eficácia terapêutica. O composto CID_44587506 apresenta a maior afinidade em Kv1.3 (8.4 kcal/mol), mas uma afinidade significativamente mais baixa com PPAR-γ (6.4 kcal/mol), sugerindo uma seletividade preferencial por Kv1.3.</w:t>
      </w:r>
    </w:p>
    <w:p w14:paraId="106D45C1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lastRenderedPageBreak/>
        <w:t>2. Estabilidade (CV%)</w:t>
      </w:r>
    </w:p>
    <w:p w14:paraId="4B19AF2A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Com relação à estabilidade, compostos com CV% abaixo de 5% são considerados mais estáveis, ou seja, apresentam menor variabilidade nas interações com os alvos. O composto CID_443684 se destaca com um CV% de 2.1%, o que o torna altamente estável, embora sua afinidade média seja um pouco inferior (6.7 kcal/mol). Em contraste, compostos como CID_44587506 e CID_162817372 possuem CV% muito elevados (19.11% e 22.22%, respectivamente), indicando instabilidade nas interações, com o risco de flutuações experimentais que podem dificultar a interpretação dos resultados.</w:t>
      </w:r>
    </w:p>
    <w:p w14:paraId="48CED282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3. RMSD (Similaridade Estrutural com Clofazimina)</w:t>
      </w:r>
    </w:p>
    <w:p w14:paraId="416EB2B2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Os valores de RMSD indicam a similaridade estrutural entre os compostos e a clofazimina. Compostos com valores de RMSD menores (mais próximos de 0) são estruturalmente mais semelhantes à clofazimina. O CID_443684, com um RMSD de 3.768 Å, é o mais próximo da clofazimina, o que pode ser vantajoso se o objetivo for manter a forma estrutural da molécula original. Por outro lado, compostos como CID_44587506 e CID_162817372 têm um RMSD maior (5.472 Å e 4.713 Å, respectivamente), indicando diferenças estruturais mais significativas.</w:t>
      </w:r>
    </w:p>
    <w:p w14:paraId="3FDE5D93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4. Análise Geral dos Compostos</w:t>
      </w:r>
    </w:p>
    <w:p w14:paraId="50B8B40E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CID_163193487 é um dos melhores compostos, com a maior afinidade média (7.85 kcal/mol), baixo CV% (4.5%) e um RMSD moderado (4.466 Å), tornando-o ideal para ações duais com boa estabilidade e previsibilidade.</w:t>
      </w:r>
    </w:p>
    <w:p w14:paraId="34CC2D3B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CID_443684 apresenta a melhor estabilidade (CV% de 2.1%) e uma estrutura relativamente próxima da clofazimina (RMSD de 3.768 Å), mas com uma afinidade média um pouco menor (6.7 kcal/mol). Ele é altamente estável e ideal para manter semelhança com a clofazimina, mas pode ser menos eficaz em termos de afinidade.</w:t>
      </w:r>
    </w:p>
    <w:p w14:paraId="6EA472A7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CID_44587506 possui uma alta afinidade com Kv1.3 (8.4 kcal/mol) mas um CV% elevado (19.11%), o que sugere instabilidade nas interações. Esse composto pode ser mais seletivo, mas sua alta variabilidade indica que ele pode ser menos confiável para ações duais.</w:t>
      </w:r>
    </w:p>
    <w:p w14:paraId="6E025C9B" w14:textId="43DB0392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CID_162817372 mostra um perfil similar ao de CID_44587506, com alta afinidade para Kv1.3 (8.1 kcal/mol), mas baixa afinidade para PPAR-γ (5.9 kcal/mol) e alta variabilidade (CV% de 22.22%). Ele pode ser útil para estudos que busquem seletividade, mas seu alto CV% limita sua aplicabilidade para terapias de ação dupla.</w:t>
      </w:r>
    </w:p>
    <w:p w14:paraId="4424CF08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193026D3" w14:textId="347D8E62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lastRenderedPageBreak/>
        <w:t>5. Comparação com Clofazimina</w:t>
      </w:r>
    </w:p>
    <w:p w14:paraId="3EB43B50" w14:textId="66FB90AD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O composto Clofazimina, como padrão, apresenta uma afinidade média de 7.575 kcal/mol, mas seu CV% é muito mais alto (17.27%) e seu RMSD é 0, o que indica que sua estrutura é perfeitamente conhecida, mas sua variabilidade de interação é mais significativa em comparação com os análogos estudados.</w:t>
      </w:r>
    </w:p>
    <w:p w14:paraId="235431AC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4"/>
          <w:szCs w:val="24"/>
        </w:rPr>
      </w:pPr>
      <w:r w:rsidRPr="0081391D">
        <w:rPr>
          <w:rFonts w:ascii="Arial" w:hAnsi="Arial" w:cs="Arial"/>
          <w:b/>
          <w:bCs/>
          <w:sz w:val="24"/>
          <w:szCs w:val="24"/>
        </w:rPr>
        <w:t>Conclusão:</w:t>
      </w:r>
    </w:p>
    <w:p w14:paraId="70026381" w14:textId="77777777" w:rsidR="0001506B" w:rsidRPr="0081391D" w:rsidRDefault="0001506B" w:rsidP="0001506B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CID_163193487 e CID_443684 se destacam como os compostos mais equilibrados em termos de afinidade, estabilidade e similaridade estrutural.</w:t>
      </w:r>
    </w:p>
    <w:p w14:paraId="1218E07F" w14:textId="400D5D3F" w:rsidR="009B182B" w:rsidRPr="0081391D" w:rsidRDefault="0001506B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CID_44587506 e CID_162817372 têm afinidade seletiva, mas a variabilidade elevada (CV% alto) e diferenças estruturais significativas (alto RMSD) sugerem que eles são mais adequados para contextos em que a seletividade é mais importante do que a estabilidade e a consistência nas interações.</w:t>
      </w:r>
    </w:p>
    <w:p w14:paraId="7989CFDF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775F5DD1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0FD595B6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30E4A44C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15C17AEA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044487F5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7A67B6F3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48304D4A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4C231A27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4EAF03EA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53842166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5F43A939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7A219DCC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4A02DC84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1FC34B5A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6CBA7214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5EF6293D" w14:textId="77777777" w:rsidR="00F10429" w:rsidRDefault="00F10429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41395ED4" w14:textId="47B752F4" w:rsidR="00420F91" w:rsidRPr="0081391D" w:rsidRDefault="00420F91" w:rsidP="00C81CA3">
      <w:p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>Clofazimina: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98"/>
        <w:gridCol w:w="4396"/>
      </w:tblGrid>
      <w:tr w:rsidR="00431F05" w:rsidRPr="0081391D" w14:paraId="77CC5048" w14:textId="77777777" w:rsidTr="00DB40CF">
        <w:tc>
          <w:tcPr>
            <w:tcW w:w="4138" w:type="dxa"/>
          </w:tcPr>
          <w:p w14:paraId="05A34B4C" w14:textId="675310FA" w:rsidR="00FB5B94" w:rsidRPr="0081391D" w:rsidRDefault="00DB40CF" w:rsidP="00DB40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1391D">
              <w:rPr>
                <w:rFonts w:ascii="Arial" w:hAnsi="Arial" w:cs="Arial"/>
                <w:sz w:val="24"/>
                <w:szCs w:val="24"/>
              </w:rPr>
              <w:t>PPRAg</w:t>
            </w:r>
            <w:proofErr w:type="spellEnd"/>
          </w:p>
        </w:tc>
        <w:tc>
          <w:tcPr>
            <w:tcW w:w="4356" w:type="dxa"/>
          </w:tcPr>
          <w:p w14:paraId="648C5CAD" w14:textId="0EDAC32F" w:rsidR="00FB5B94" w:rsidRPr="0081391D" w:rsidRDefault="00DB40CF" w:rsidP="00DB40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sz w:val="24"/>
                <w:szCs w:val="24"/>
              </w:rPr>
              <w:t>Kv1.3</w:t>
            </w:r>
          </w:p>
        </w:tc>
      </w:tr>
      <w:tr w:rsidR="00431F05" w:rsidRPr="0081391D" w14:paraId="52965913" w14:textId="77777777" w:rsidTr="00DB40CF">
        <w:tc>
          <w:tcPr>
            <w:tcW w:w="4138" w:type="dxa"/>
          </w:tcPr>
          <w:p w14:paraId="7430C886" w14:textId="6A10D1AE" w:rsidR="00FB5B94" w:rsidRPr="0081391D" w:rsidRDefault="00FB5B94" w:rsidP="00FB5B94">
            <w:pPr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2248E48B" wp14:editId="45FAEFCE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72390</wp:posOffset>
                  </wp:positionV>
                  <wp:extent cx="2423795" cy="2336800"/>
                  <wp:effectExtent l="0" t="0" r="0" b="6350"/>
                  <wp:wrapTopAndBottom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95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56" w:type="dxa"/>
          </w:tcPr>
          <w:p w14:paraId="0E89ABF4" w14:textId="1C675B6B" w:rsidR="00FB5B94" w:rsidRPr="0081391D" w:rsidRDefault="00DB40CF" w:rsidP="0009381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42AD7DC" wp14:editId="7EEF125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148590</wp:posOffset>
                  </wp:positionV>
                  <wp:extent cx="2625090" cy="2254250"/>
                  <wp:effectExtent l="0" t="0" r="3810" b="0"/>
                  <wp:wrapThrough wrapText="bothSides">
                    <wp:wrapPolygon edited="0">
                      <wp:start x="0" y="0"/>
                      <wp:lineTo x="0" y="21357"/>
                      <wp:lineTo x="21475" y="21357"/>
                      <wp:lineTo x="21475" y="0"/>
                      <wp:lineTo x="0" y="0"/>
                    </wp:wrapPolygon>
                  </wp:wrapThrough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E7B07" w:rsidRPr="0081391D" w14:paraId="0BD8233A" w14:textId="77777777" w:rsidTr="00DB40CF">
        <w:tc>
          <w:tcPr>
            <w:tcW w:w="4138" w:type="dxa"/>
          </w:tcPr>
          <w:p w14:paraId="50E428DA" w14:textId="25AB15CE" w:rsidR="00431F05" w:rsidRPr="0081391D" w:rsidRDefault="001E7B07" w:rsidP="00FB5B94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0D0B087C" wp14:editId="0EB5BA43">
                  <wp:simplePos x="0" y="0"/>
                  <wp:positionH relativeFrom="column">
                    <wp:posOffset>84032</wp:posOffset>
                  </wp:positionH>
                  <wp:positionV relativeFrom="paragraph">
                    <wp:posOffset>0</wp:posOffset>
                  </wp:positionV>
                  <wp:extent cx="2413000" cy="2872740"/>
                  <wp:effectExtent l="0" t="0" r="0" b="0"/>
                  <wp:wrapThrough wrapText="bothSides">
                    <wp:wrapPolygon edited="0">
                      <wp:start x="11425" y="2005"/>
                      <wp:lineTo x="9379" y="2435"/>
                      <wp:lineTo x="5286" y="4011"/>
                      <wp:lineTo x="5286" y="4584"/>
                      <wp:lineTo x="3752" y="4870"/>
                      <wp:lineTo x="853" y="6446"/>
                      <wp:lineTo x="341" y="7448"/>
                      <wp:lineTo x="512" y="9024"/>
                      <wp:lineTo x="2046" y="9167"/>
                      <wp:lineTo x="2046" y="9740"/>
                      <wp:lineTo x="2899" y="11459"/>
                      <wp:lineTo x="5457" y="13751"/>
                      <wp:lineTo x="4775" y="15040"/>
                      <wp:lineTo x="5116" y="17618"/>
                      <wp:lineTo x="7162" y="18334"/>
                      <wp:lineTo x="11255" y="18764"/>
                      <wp:lineTo x="12448" y="18764"/>
                      <wp:lineTo x="14324" y="18334"/>
                      <wp:lineTo x="18417" y="16472"/>
                      <wp:lineTo x="18928" y="16042"/>
                      <wp:lineTo x="20463" y="14180"/>
                      <wp:lineTo x="20634" y="6016"/>
                      <wp:lineTo x="19269" y="4584"/>
                      <wp:lineTo x="19440" y="3724"/>
                      <wp:lineTo x="18758" y="3008"/>
                      <wp:lineTo x="16712" y="2005"/>
                      <wp:lineTo x="11425" y="2005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2" r="29964"/>
                          <a:stretch/>
                        </pic:blipFill>
                        <pic:spPr bwMode="auto">
                          <a:xfrm>
                            <a:off x="0" y="0"/>
                            <a:ext cx="2413000" cy="287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56" w:type="dxa"/>
          </w:tcPr>
          <w:p w14:paraId="5C001FFD" w14:textId="6DFBF3FA" w:rsidR="00431F05" w:rsidRPr="0081391D" w:rsidRDefault="00431F05" w:rsidP="0009381E">
            <w:pPr>
              <w:jc w:val="right"/>
              <w:rPr>
                <w:rFonts w:ascii="Arial" w:hAnsi="Arial" w:cs="Arial"/>
                <w:noProof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5CBBF4B" wp14:editId="7E874CF4">
                  <wp:extent cx="2654300" cy="2473598"/>
                  <wp:effectExtent l="0" t="0" r="0" b="317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747" cy="249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28532" w14:textId="46357170" w:rsidR="0009381E" w:rsidRPr="0081391D" w:rsidRDefault="0009381E" w:rsidP="0009381E">
      <w:pPr>
        <w:jc w:val="right"/>
        <w:rPr>
          <w:rFonts w:ascii="Arial" w:hAnsi="Arial" w:cs="Arial"/>
          <w:sz w:val="24"/>
          <w:szCs w:val="24"/>
        </w:rPr>
      </w:pPr>
    </w:p>
    <w:p w14:paraId="1B6584DA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291472C5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26408117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407DE81B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21616B5E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65FADF3B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591356F7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79C02242" w14:textId="77777777" w:rsidR="00F10429" w:rsidRDefault="00F1042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46047556" w14:textId="14BB8A95" w:rsidR="001E7B07" w:rsidRPr="0081391D" w:rsidRDefault="00107459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tab/>
      </w:r>
    </w:p>
    <w:p w14:paraId="0DE92461" w14:textId="0D835EA8" w:rsidR="00431F05" w:rsidRPr="0081391D" w:rsidRDefault="00810657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  <w:r w:rsidRPr="0081391D">
        <w:rPr>
          <w:rFonts w:ascii="Arial" w:hAnsi="Arial" w:cs="Arial"/>
          <w:sz w:val="24"/>
          <w:szCs w:val="24"/>
        </w:rPr>
        <w:lastRenderedPageBreak/>
        <w:t>CID_443684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05"/>
        <w:gridCol w:w="4389"/>
      </w:tblGrid>
      <w:tr w:rsidR="00810657" w:rsidRPr="0081391D" w14:paraId="4B6FECDD" w14:textId="77777777" w:rsidTr="0092147A">
        <w:tc>
          <w:tcPr>
            <w:tcW w:w="4138" w:type="dxa"/>
          </w:tcPr>
          <w:p w14:paraId="7091D0E8" w14:textId="77777777" w:rsidR="00431F05" w:rsidRPr="0081391D" w:rsidRDefault="00431F05" w:rsidP="009214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1391D">
              <w:rPr>
                <w:rFonts w:ascii="Arial" w:hAnsi="Arial" w:cs="Arial"/>
                <w:sz w:val="24"/>
                <w:szCs w:val="24"/>
              </w:rPr>
              <w:t>PPRAg</w:t>
            </w:r>
            <w:proofErr w:type="spellEnd"/>
          </w:p>
        </w:tc>
        <w:tc>
          <w:tcPr>
            <w:tcW w:w="4356" w:type="dxa"/>
          </w:tcPr>
          <w:p w14:paraId="25085349" w14:textId="77777777" w:rsidR="00431F05" w:rsidRPr="0081391D" w:rsidRDefault="00431F05" w:rsidP="009214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sz w:val="24"/>
                <w:szCs w:val="24"/>
              </w:rPr>
              <w:t>Kv1.3</w:t>
            </w:r>
          </w:p>
        </w:tc>
      </w:tr>
      <w:tr w:rsidR="00810657" w:rsidRPr="0081391D" w14:paraId="3CDE063B" w14:textId="77777777" w:rsidTr="00810657">
        <w:trPr>
          <w:trHeight w:val="4362"/>
        </w:trPr>
        <w:tc>
          <w:tcPr>
            <w:tcW w:w="4138" w:type="dxa"/>
          </w:tcPr>
          <w:p w14:paraId="1FDEAFDB" w14:textId="1ED72AB2" w:rsidR="00431F05" w:rsidRPr="0081391D" w:rsidRDefault="00810657" w:rsidP="0092147A">
            <w:pPr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3F8D9E2B" wp14:editId="1946D5F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282576</wp:posOffset>
                  </wp:positionV>
                  <wp:extent cx="2418920" cy="2209800"/>
                  <wp:effectExtent l="0" t="0" r="635" b="0"/>
                  <wp:wrapThrough wrapText="bothSides">
                    <wp:wrapPolygon edited="0">
                      <wp:start x="0" y="0"/>
                      <wp:lineTo x="0" y="21414"/>
                      <wp:lineTo x="21436" y="21414"/>
                      <wp:lineTo x="21436" y="0"/>
                      <wp:lineTo x="0" y="0"/>
                    </wp:wrapPolygon>
                  </wp:wrapThrough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92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56" w:type="dxa"/>
          </w:tcPr>
          <w:p w14:paraId="3D0D28AB" w14:textId="230FFDA6" w:rsidR="00431F05" w:rsidRPr="0081391D" w:rsidRDefault="00810657" w:rsidP="0092147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7829522" wp14:editId="5591C2D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320675</wp:posOffset>
                  </wp:positionV>
                  <wp:extent cx="2588706" cy="2222500"/>
                  <wp:effectExtent l="0" t="0" r="2540" b="6350"/>
                  <wp:wrapThrough wrapText="bothSides">
                    <wp:wrapPolygon edited="0">
                      <wp:start x="0" y="0"/>
                      <wp:lineTo x="0" y="21477"/>
                      <wp:lineTo x="21462" y="21477"/>
                      <wp:lineTo x="21462" y="0"/>
                      <wp:lineTo x="0" y="0"/>
                    </wp:wrapPolygon>
                  </wp:wrapThrough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706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10657" w:rsidRPr="0081391D" w14:paraId="2CC6B8B3" w14:textId="77777777" w:rsidTr="0081391D">
        <w:trPr>
          <w:trHeight w:val="4381"/>
        </w:trPr>
        <w:tc>
          <w:tcPr>
            <w:tcW w:w="4138" w:type="dxa"/>
          </w:tcPr>
          <w:p w14:paraId="1E2FAA05" w14:textId="48F473D1" w:rsidR="00810657" w:rsidRPr="0081391D" w:rsidRDefault="00810657" w:rsidP="0092147A">
            <w:pPr>
              <w:rPr>
                <w:rFonts w:ascii="Arial" w:hAnsi="Arial" w:cs="Arial"/>
                <w:noProof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650BF383" wp14:editId="008FEF15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65405</wp:posOffset>
                  </wp:positionV>
                  <wp:extent cx="2503170" cy="2651760"/>
                  <wp:effectExtent l="0" t="0" r="0" b="0"/>
                  <wp:wrapThrough wrapText="bothSides">
                    <wp:wrapPolygon edited="0">
                      <wp:start x="0" y="0"/>
                      <wp:lineTo x="0" y="21414"/>
                      <wp:lineTo x="21370" y="21414"/>
                      <wp:lineTo x="21370" y="0"/>
                      <wp:lineTo x="0" y="0"/>
                    </wp:wrapPolygon>
                  </wp:wrapThrough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53" r="27720"/>
                          <a:stretch/>
                        </pic:blipFill>
                        <pic:spPr bwMode="auto">
                          <a:xfrm>
                            <a:off x="0" y="0"/>
                            <a:ext cx="2503170" cy="265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56" w:type="dxa"/>
          </w:tcPr>
          <w:p w14:paraId="259A554A" w14:textId="241F81DE" w:rsidR="00810657" w:rsidRPr="0081391D" w:rsidRDefault="00810657" w:rsidP="0081391D">
            <w:pPr>
              <w:rPr>
                <w:rFonts w:ascii="Arial" w:hAnsi="Arial" w:cs="Arial"/>
                <w:sz w:val="24"/>
                <w:szCs w:val="24"/>
              </w:rPr>
            </w:pPr>
            <w:r w:rsidRPr="0081391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67C5F1F8" wp14:editId="53093F42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121285</wp:posOffset>
                  </wp:positionV>
                  <wp:extent cx="2676525" cy="2484120"/>
                  <wp:effectExtent l="0" t="0" r="9525" b="0"/>
                  <wp:wrapThrough wrapText="bothSides">
                    <wp:wrapPolygon edited="0">
                      <wp:start x="0" y="0"/>
                      <wp:lineTo x="0" y="21368"/>
                      <wp:lineTo x="21523" y="21368"/>
                      <wp:lineTo x="21523" y="0"/>
                      <wp:lineTo x="0" y="0"/>
                    </wp:wrapPolygon>
                  </wp:wrapThrough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99" r="22037"/>
                          <a:stretch/>
                        </pic:blipFill>
                        <pic:spPr bwMode="auto">
                          <a:xfrm>
                            <a:off x="0" y="0"/>
                            <a:ext cx="2676525" cy="248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203A4E7" w14:textId="30D9E8D7" w:rsidR="00BA1D60" w:rsidRDefault="00BA1D60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4396"/>
        <w:gridCol w:w="1017"/>
        <w:gridCol w:w="1312"/>
        <w:gridCol w:w="1017"/>
        <w:gridCol w:w="1384"/>
        <w:gridCol w:w="1384"/>
        <w:gridCol w:w="844"/>
      </w:tblGrid>
      <w:tr w:rsidR="00466E60" w:rsidRPr="00466E60" w14:paraId="0D3C65C4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1B9730F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Ligante</w:t>
            </w:r>
          </w:p>
        </w:tc>
        <w:tc>
          <w:tcPr>
            <w:tcW w:w="945" w:type="dxa"/>
            <w:noWrap/>
            <w:vAlign w:val="center"/>
            <w:hideMark/>
          </w:tcPr>
          <w:p w14:paraId="123F31C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Kv1.3 (-kcal/mol)</w:t>
            </w:r>
          </w:p>
        </w:tc>
        <w:tc>
          <w:tcPr>
            <w:tcW w:w="1312" w:type="dxa"/>
            <w:noWrap/>
            <w:vAlign w:val="center"/>
            <w:hideMark/>
          </w:tcPr>
          <w:p w14:paraId="1D6661C9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PPAR-γ (-kcal/mol)</w:t>
            </w:r>
          </w:p>
        </w:tc>
        <w:tc>
          <w:tcPr>
            <w:tcW w:w="868" w:type="dxa"/>
            <w:noWrap/>
            <w:vAlign w:val="center"/>
            <w:hideMark/>
          </w:tcPr>
          <w:p w14:paraId="7BC22D77" w14:textId="76E76C3F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Média (-kcal/mol)</w:t>
            </w:r>
          </w:p>
        </w:tc>
        <w:tc>
          <w:tcPr>
            <w:tcW w:w="1167" w:type="dxa"/>
            <w:noWrap/>
            <w:vAlign w:val="center"/>
            <w:hideMark/>
          </w:tcPr>
          <w:p w14:paraId="63571914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SD</w:t>
            </w:r>
          </w:p>
        </w:tc>
        <w:tc>
          <w:tcPr>
            <w:tcW w:w="1167" w:type="dxa"/>
            <w:noWrap/>
            <w:vAlign w:val="center"/>
            <w:hideMark/>
          </w:tcPr>
          <w:p w14:paraId="1F69EF0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CV (%)</w:t>
            </w:r>
          </w:p>
        </w:tc>
        <w:tc>
          <w:tcPr>
            <w:tcW w:w="844" w:type="dxa"/>
            <w:noWrap/>
            <w:vAlign w:val="center"/>
            <w:hideMark/>
          </w:tcPr>
          <w:p w14:paraId="3E02D1EE" w14:textId="3BEA50F4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RMSD</w:t>
            </w:r>
          </w:p>
        </w:tc>
      </w:tr>
      <w:tr w:rsidR="00BA1D60" w:rsidRPr="00466E60" w14:paraId="4F89C0FC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6118BC8F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Padrão (Clofazimina)</w:t>
            </w:r>
          </w:p>
        </w:tc>
        <w:tc>
          <w:tcPr>
            <w:tcW w:w="945" w:type="dxa"/>
            <w:noWrap/>
            <w:vAlign w:val="center"/>
            <w:hideMark/>
          </w:tcPr>
          <w:p w14:paraId="0D06A82C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6.65</w:t>
            </w:r>
          </w:p>
        </w:tc>
        <w:tc>
          <w:tcPr>
            <w:tcW w:w="1312" w:type="dxa"/>
            <w:noWrap/>
            <w:vAlign w:val="center"/>
            <w:hideMark/>
          </w:tcPr>
          <w:p w14:paraId="536E5AE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8.5</w:t>
            </w:r>
          </w:p>
        </w:tc>
        <w:tc>
          <w:tcPr>
            <w:tcW w:w="868" w:type="dxa"/>
            <w:noWrap/>
            <w:vAlign w:val="center"/>
            <w:hideMark/>
          </w:tcPr>
          <w:p w14:paraId="4BA13ABC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7.575</w:t>
            </w:r>
          </w:p>
        </w:tc>
        <w:tc>
          <w:tcPr>
            <w:tcW w:w="1167" w:type="dxa"/>
            <w:noWrap/>
            <w:vAlign w:val="center"/>
            <w:hideMark/>
          </w:tcPr>
          <w:p w14:paraId="035725B4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1.308147545</w:t>
            </w:r>
          </w:p>
        </w:tc>
        <w:tc>
          <w:tcPr>
            <w:tcW w:w="1167" w:type="dxa"/>
            <w:noWrap/>
            <w:vAlign w:val="center"/>
            <w:hideMark/>
          </w:tcPr>
          <w:p w14:paraId="414E10F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17.26927452</w:t>
            </w:r>
          </w:p>
        </w:tc>
        <w:tc>
          <w:tcPr>
            <w:tcW w:w="844" w:type="dxa"/>
            <w:noWrap/>
            <w:vAlign w:val="center"/>
            <w:hideMark/>
          </w:tcPr>
          <w:p w14:paraId="6AEE359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66E60" w:rsidRPr="00466E60" w14:paraId="2E6724C2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72BD5E2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7Conformer3D_COMPOUND_CID_163193487</w:t>
            </w:r>
          </w:p>
        </w:tc>
        <w:tc>
          <w:tcPr>
            <w:tcW w:w="945" w:type="dxa"/>
            <w:noWrap/>
            <w:vAlign w:val="center"/>
            <w:hideMark/>
          </w:tcPr>
          <w:p w14:paraId="65D12F57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8.1</w:t>
            </w:r>
          </w:p>
        </w:tc>
        <w:tc>
          <w:tcPr>
            <w:tcW w:w="1312" w:type="dxa"/>
            <w:noWrap/>
            <w:vAlign w:val="center"/>
            <w:hideMark/>
          </w:tcPr>
          <w:p w14:paraId="25121983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7.6</w:t>
            </w:r>
          </w:p>
        </w:tc>
        <w:tc>
          <w:tcPr>
            <w:tcW w:w="868" w:type="dxa"/>
            <w:noWrap/>
            <w:vAlign w:val="center"/>
            <w:hideMark/>
          </w:tcPr>
          <w:p w14:paraId="4269889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7.85</w:t>
            </w:r>
          </w:p>
        </w:tc>
        <w:tc>
          <w:tcPr>
            <w:tcW w:w="1167" w:type="dxa"/>
            <w:noWrap/>
            <w:vAlign w:val="center"/>
            <w:hideMark/>
          </w:tcPr>
          <w:p w14:paraId="65A8CB36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0.353553391</w:t>
            </w:r>
          </w:p>
        </w:tc>
        <w:tc>
          <w:tcPr>
            <w:tcW w:w="1167" w:type="dxa"/>
            <w:noWrap/>
            <w:vAlign w:val="center"/>
            <w:hideMark/>
          </w:tcPr>
          <w:p w14:paraId="1788BAB9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4.503864848</w:t>
            </w:r>
          </w:p>
        </w:tc>
        <w:tc>
          <w:tcPr>
            <w:tcW w:w="844" w:type="dxa"/>
            <w:noWrap/>
            <w:vAlign w:val="center"/>
            <w:hideMark/>
          </w:tcPr>
          <w:p w14:paraId="73701875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4.466</w:t>
            </w:r>
          </w:p>
        </w:tc>
      </w:tr>
      <w:tr w:rsidR="00466E60" w:rsidRPr="00466E60" w14:paraId="3C44B583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45FA01D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2Conformer3D_COMPOUND_CID_5318528</w:t>
            </w:r>
          </w:p>
        </w:tc>
        <w:tc>
          <w:tcPr>
            <w:tcW w:w="945" w:type="dxa"/>
            <w:noWrap/>
            <w:vAlign w:val="center"/>
            <w:hideMark/>
          </w:tcPr>
          <w:p w14:paraId="23247283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7.9</w:t>
            </w:r>
          </w:p>
        </w:tc>
        <w:tc>
          <w:tcPr>
            <w:tcW w:w="1312" w:type="dxa"/>
            <w:noWrap/>
            <w:vAlign w:val="center"/>
            <w:hideMark/>
          </w:tcPr>
          <w:p w14:paraId="4849DF49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7.3</w:t>
            </w:r>
          </w:p>
        </w:tc>
        <w:tc>
          <w:tcPr>
            <w:tcW w:w="868" w:type="dxa"/>
            <w:noWrap/>
            <w:vAlign w:val="center"/>
            <w:hideMark/>
          </w:tcPr>
          <w:p w14:paraId="5507C93D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7.6</w:t>
            </w:r>
          </w:p>
        </w:tc>
        <w:tc>
          <w:tcPr>
            <w:tcW w:w="1167" w:type="dxa"/>
            <w:noWrap/>
            <w:vAlign w:val="center"/>
            <w:hideMark/>
          </w:tcPr>
          <w:p w14:paraId="26BFFB35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0.424264069</w:t>
            </w:r>
          </w:p>
        </w:tc>
        <w:tc>
          <w:tcPr>
            <w:tcW w:w="1167" w:type="dxa"/>
            <w:noWrap/>
            <w:vAlign w:val="center"/>
            <w:hideMark/>
          </w:tcPr>
          <w:p w14:paraId="2E14F62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5.582421957</w:t>
            </w:r>
          </w:p>
        </w:tc>
        <w:tc>
          <w:tcPr>
            <w:tcW w:w="844" w:type="dxa"/>
            <w:noWrap/>
            <w:vAlign w:val="center"/>
            <w:hideMark/>
          </w:tcPr>
          <w:p w14:paraId="7532E33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5.973</w:t>
            </w:r>
          </w:p>
        </w:tc>
      </w:tr>
      <w:tr w:rsidR="00466E60" w:rsidRPr="00466E60" w14:paraId="3546F92C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32F44353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3Conformer3D_COMPOUND_CID_5315801</w:t>
            </w:r>
          </w:p>
        </w:tc>
        <w:tc>
          <w:tcPr>
            <w:tcW w:w="945" w:type="dxa"/>
            <w:noWrap/>
            <w:vAlign w:val="center"/>
            <w:hideMark/>
          </w:tcPr>
          <w:p w14:paraId="5FC78DBC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7.9</w:t>
            </w:r>
          </w:p>
        </w:tc>
        <w:tc>
          <w:tcPr>
            <w:tcW w:w="1312" w:type="dxa"/>
            <w:noWrap/>
            <w:vAlign w:val="center"/>
            <w:hideMark/>
          </w:tcPr>
          <w:p w14:paraId="0595433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68" w:type="dxa"/>
            <w:noWrap/>
            <w:vAlign w:val="center"/>
            <w:hideMark/>
          </w:tcPr>
          <w:p w14:paraId="4A3F2C67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7.45</w:t>
            </w:r>
          </w:p>
        </w:tc>
        <w:tc>
          <w:tcPr>
            <w:tcW w:w="1167" w:type="dxa"/>
            <w:noWrap/>
            <w:vAlign w:val="center"/>
            <w:hideMark/>
          </w:tcPr>
          <w:p w14:paraId="74974C7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0.636396103</w:t>
            </w:r>
          </w:p>
        </w:tc>
        <w:tc>
          <w:tcPr>
            <w:tcW w:w="1167" w:type="dxa"/>
            <w:noWrap/>
            <w:vAlign w:val="center"/>
            <w:hideMark/>
          </w:tcPr>
          <w:p w14:paraId="6B5CBA3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8.542229571</w:t>
            </w:r>
          </w:p>
        </w:tc>
        <w:tc>
          <w:tcPr>
            <w:tcW w:w="844" w:type="dxa"/>
            <w:noWrap/>
            <w:vAlign w:val="center"/>
            <w:hideMark/>
          </w:tcPr>
          <w:p w14:paraId="5F615D59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5.459</w:t>
            </w:r>
          </w:p>
        </w:tc>
      </w:tr>
      <w:tr w:rsidR="00466E60" w:rsidRPr="00466E60" w14:paraId="0E9CDC02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7ED1DEA7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1Conformer3D_COMPOUND_CID_101426128</w:t>
            </w:r>
          </w:p>
        </w:tc>
        <w:tc>
          <w:tcPr>
            <w:tcW w:w="945" w:type="dxa"/>
            <w:noWrap/>
            <w:vAlign w:val="center"/>
            <w:hideMark/>
          </w:tcPr>
          <w:p w14:paraId="5457AC6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7.7</w:t>
            </w:r>
          </w:p>
        </w:tc>
        <w:tc>
          <w:tcPr>
            <w:tcW w:w="1312" w:type="dxa"/>
            <w:noWrap/>
            <w:vAlign w:val="center"/>
            <w:hideMark/>
          </w:tcPr>
          <w:p w14:paraId="427E7989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7.2</w:t>
            </w:r>
          </w:p>
        </w:tc>
        <w:tc>
          <w:tcPr>
            <w:tcW w:w="868" w:type="dxa"/>
            <w:noWrap/>
            <w:vAlign w:val="center"/>
            <w:hideMark/>
          </w:tcPr>
          <w:p w14:paraId="09094F7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7.45</w:t>
            </w:r>
          </w:p>
        </w:tc>
        <w:tc>
          <w:tcPr>
            <w:tcW w:w="1167" w:type="dxa"/>
            <w:noWrap/>
            <w:vAlign w:val="center"/>
            <w:hideMark/>
          </w:tcPr>
          <w:p w14:paraId="453B5CA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0.353553391</w:t>
            </w:r>
          </w:p>
        </w:tc>
        <w:tc>
          <w:tcPr>
            <w:tcW w:w="1167" w:type="dxa"/>
            <w:noWrap/>
            <w:vAlign w:val="center"/>
            <w:hideMark/>
          </w:tcPr>
          <w:p w14:paraId="115D6DC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4.745683095</w:t>
            </w:r>
          </w:p>
        </w:tc>
        <w:tc>
          <w:tcPr>
            <w:tcW w:w="844" w:type="dxa"/>
            <w:noWrap/>
            <w:vAlign w:val="center"/>
            <w:hideMark/>
          </w:tcPr>
          <w:p w14:paraId="4848096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4.834</w:t>
            </w:r>
          </w:p>
        </w:tc>
      </w:tr>
      <w:tr w:rsidR="00466E60" w:rsidRPr="00466E60" w14:paraId="0915D4CB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32B0DF5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9Conformer3D_COMPOUND_CID_44587506</w:t>
            </w:r>
          </w:p>
        </w:tc>
        <w:tc>
          <w:tcPr>
            <w:tcW w:w="945" w:type="dxa"/>
            <w:noWrap/>
            <w:vAlign w:val="center"/>
            <w:hideMark/>
          </w:tcPr>
          <w:p w14:paraId="4673EEC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8.4</w:t>
            </w:r>
          </w:p>
        </w:tc>
        <w:tc>
          <w:tcPr>
            <w:tcW w:w="1312" w:type="dxa"/>
            <w:noWrap/>
            <w:vAlign w:val="center"/>
            <w:hideMark/>
          </w:tcPr>
          <w:p w14:paraId="689D408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6.4</w:t>
            </w:r>
          </w:p>
        </w:tc>
        <w:tc>
          <w:tcPr>
            <w:tcW w:w="868" w:type="dxa"/>
            <w:noWrap/>
            <w:vAlign w:val="center"/>
            <w:hideMark/>
          </w:tcPr>
          <w:p w14:paraId="73C095BD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7.4</w:t>
            </w:r>
          </w:p>
        </w:tc>
        <w:tc>
          <w:tcPr>
            <w:tcW w:w="1167" w:type="dxa"/>
            <w:noWrap/>
            <w:vAlign w:val="center"/>
            <w:hideMark/>
          </w:tcPr>
          <w:p w14:paraId="3E3D5DAF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1.414213562</w:t>
            </w:r>
          </w:p>
        </w:tc>
        <w:tc>
          <w:tcPr>
            <w:tcW w:w="1167" w:type="dxa"/>
            <w:noWrap/>
            <w:vAlign w:val="center"/>
            <w:hideMark/>
          </w:tcPr>
          <w:p w14:paraId="533FDD5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19.11099409</w:t>
            </w:r>
          </w:p>
        </w:tc>
        <w:tc>
          <w:tcPr>
            <w:tcW w:w="844" w:type="dxa"/>
            <w:noWrap/>
            <w:vAlign w:val="center"/>
            <w:hideMark/>
          </w:tcPr>
          <w:p w14:paraId="541A1EA0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5.472</w:t>
            </w:r>
          </w:p>
        </w:tc>
      </w:tr>
      <w:tr w:rsidR="00466E60" w:rsidRPr="00466E60" w14:paraId="0CF8367C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25911C1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4Conformer3D_COMPOUND_CID_328712</w:t>
            </w:r>
          </w:p>
        </w:tc>
        <w:tc>
          <w:tcPr>
            <w:tcW w:w="945" w:type="dxa"/>
            <w:noWrap/>
            <w:vAlign w:val="center"/>
            <w:hideMark/>
          </w:tcPr>
          <w:p w14:paraId="4AEFFFAA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6.9</w:t>
            </w:r>
          </w:p>
        </w:tc>
        <w:tc>
          <w:tcPr>
            <w:tcW w:w="1312" w:type="dxa"/>
            <w:noWrap/>
            <w:vAlign w:val="center"/>
            <w:hideMark/>
          </w:tcPr>
          <w:p w14:paraId="742FFE03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7.6</w:t>
            </w:r>
          </w:p>
        </w:tc>
        <w:tc>
          <w:tcPr>
            <w:tcW w:w="868" w:type="dxa"/>
            <w:noWrap/>
            <w:vAlign w:val="center"/>
            <w:hideMark/>
          </w:tcPr>
          <w:p w14:paraId="7030B073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7.25</w:t>
            </w:r>
          </w:p>
        </w:tc>
        <w:tc>
          <w:tcPr>
            <w:tcW w:w="1167" w:type="dxa"/>
            <w:noWrap/>
            <w:vAlign w:val="center"/>
            <w:hideMark/>
          </w:tcPr>
          <w:p w14:paraId="16EE134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0.494974747</w:t>
            </w:r>
          </w:p>
        </w:tc>
        <w:tc>
          <w:tcPr>
            <w:tcW w:w="1167" w:type="dxa"/>
            <w:noWrap/>
            <w:vAlign w:val="center"/>
            <w:hideMark/>
          </w:tcPr>
          <w:p w14:paraId="4665789C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6.827237887</w:t>
            </w:r>
          </w:p>
        </w:tc>
        <w:tc>
          <w:tcPr>
            <w:tcW w:w="844" w:type="dxa"/>
            <w:noWrap/>
            <w:vAlign w:val="center"/>
            <w:hideMark/>
          </w:tcPr>
          <w:p w14:paraId="3DD0C3E6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5.401</w:t>
            </w:r>
          </w:p>
        </w:tc>
      </w:tr>
      <w:tr w:rsidR="00466E60" w:rsidRPr="00466E60" w14:paraId="228725F0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294EE40D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8Conformer3D_COMPOUND_CID_162817168</w:t>
            </w:r>
          </w:p>
        </w:tc>
        <w:tc>
          <w:tcPr>
            <w:tcW w:w="945" w:type="dxa"/>
            <w:noWrap/>
            <w:vAlign w:val="center"/>
            <w:hideMark/>
          </w:tcPr>
          <w:p w14:paraId="528F989E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7.4</w:t>
            </w:r>
          </w:p>
        </w:tc>
        <w:tc>
          <w:tcPr>
            <w:tcW w:w="1312" w:type="dxa"/>
            <w:noWrap/>
            <w:vAlign w:val="center"/>
            <w:hideMark/>
          </w:tcPr>
          <w:p w14:paraId="69DED3B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6.5</w:t>
            </w:r>
          </w:p>
        </w:tc>
        <w:tc>
          <w:tcPr>
            <w:tcW w:w="868" w:type="dxa"/>
            <w:noWrap/>
            <w:vAlign w:val="center"/>
            <w:hideMark/>
          </w:tcPr>
          <w:p w14:paraId="246C1587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6.95</w:t>
            </w:r>
          </w:p>
        </w:tc>
        <w:tc>
          <w:tcPr>
            <w:tcW w:w="1167" w:type="dxa"/>
            <w:noWrap/>
            <w:vAlign w:val="center"/>
            <w:hideMark/>
          </w:tcPr>
          <w:p w14:paraId="6182A8E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0.636396103</w:t>
            </w:r>
          </w:p>
        </w:tc>
        <w:tc>
          <w:tcPr>
            <w:tcW w:w="1167" w:type="dxa"/>
            <w:noWrap/>
            <w:vAlign w:val="center"/>
            <w:hideMark/>
          </w:tcPr>
          <w:p w14:paraId="6C972725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9.156778461</w:t>
            </w:r>
          </w:p>
        </w:tc>
        <w:tc>
          <w:tcPr>
            <w:tcW w:w="844" w:type="dxa"/>
            <w:noWrap/>
            <w:vAlign w:val="center"/>
            <w:hideMark/>
          </w:tcPr>
          <w:p w14:paraId="7DC5A63B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5.605</w:t>
            </w:r>
          </w:p>
        </w:tc>
      </w:tr>
      <w:tr w:rsidR="00466E60" w:rsidRPr="00466E60" w14:paraId="2BF93C0E" w14:textId="77777777" w:rsidTr="00466E60">
        <w:trPr>
          <w:trHeight w:val="288"/>
        </w:trPr>
        <w:tc>
          <w:tcPr>
            <w:tcW w:w="3620" w:type="dxa"/>
            <w:noWrap/>
            <w:vAlign w:val="center"/>
            <w:hideMark/>
          </w:tcPr>
          <w:p w14:paraId="35C72F72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Conformer3D_COMPOUND_CID_443684</w:t>
            </w:r>
          </w:p>
        </w:tc>
        <w:tc>
          <w:tcPr>
            <w:tcW w:w="945" w:type="dxa"/>
            <w:noWrap/>
            <w:vAlign w:val="center"/>
            <w:hideMark/>
          </w:tcPr>
          <w:p w14:paraId="3573F84A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6.6</w:t>
            </w:r>
          </w:p>
        </w:tc>
        <w:tc>
          <w:tcPr>
            <w:tcW w:w="1312" w:type="dxa"/>
            <w:noWrap/>
            <w:vAlign w:val="center"/>
            <w:hideMark/>
          </w:tcPr>
          <w:p w14:paraId="3D08FA7C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6.8</w:t>
            </w:r>
          </w:p>
        </w:tc>
        <w:tc>
          <w:tcPr>
            <w:tcW w:w="868" w:type="dxa"/>
            <w:noWrap/>
            <w:vAlign w:val="center"/>
            <w:hideMark/>
          </w:tcPr>
          <w:p w14:paraId="1C7E4B74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6.7</w:t>
            </w:r>
          </w:p>
        </w:tc>
        <w:tc>
          <w:tcPr>
            <w:tcW w:w="1167" w:type="dxa"/>
            <w:noWrap/>
            <w:vAlign w:val="center"/>
            <w:hideMark/>
          </w:tcPr>
          <w:p w14:paraId="342163E7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0.141421356</w:t>
            </w:r>
          </w:p>
        </w:tc>
        <w:tc>
          <w:tcPr>
            <w:tcW w:w="1167" w:type="dxa"/>
            <w:noWrap/>
            <w:vAlign w:val="center"/>
            <w:hideMark/>
          </w:tcPr>
          <w:p w14:paraId="000268B1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2.110766511</w:t>
            </w:r>
          </w:p>
        </w:tc>
        <w:tc>
          <w:tcPr>
            <w:tcW w:w="844" w:type="dxa"/>
            <w:noWrap/>
            <w:vAlign w:val="center"/>
            <w:hideMark/>
          </w:tcPr>
          <w:p w14:paraId="7777049F" w14:textId="77777777" w:rsidR="00BA1D60" w:rsidRPr="00466E60" w:rsidRDefault="00BA1D60" w:rsidP="00BA1D60">
            <w:pPr>
              <w:tabs>
                <w:tab w:val="left" w:pos="321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6E60">
              <w:rPr>
                <w:rFonts w:ascii="Arial" w:hAnsi="Arial" w:cs="Arial"/>
                <w:sz w:val="20"/>
                <w:szCs w:val="20"/>
              </w:rPr>
              <w:t>3.768</w:t>
            </w:r>
          </w:p>
        </w:tc>
      </w:tr>
    </w:tbl>
    <w:p w14:paraId="32C65F6A" w14:textId="430CE4DD" w:rsidR="00BA1D60" w:rsidRDefault="00BA1D60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60B4D244" w14:textId="13F36EB2" w:rsidR="009E2ECB" w:rsidRDefault="009E2ECB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p w14:paraId="45FFE8DA" w14:textId="77777777" w:rsidR="009E2ECB" w:rsidRDefault="009E2ECB" w:rsidP="009E2EC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14:paraId="0594D13C" w14:textId="77777777" w:rsidR="009E2ECB" w:rsidRPr="008A1082" w:rsidRDefault="009E2ECB" w:rsidP="009E2E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hyperlink r:id="rId14" w:history="1">
        <w:proofErr w:type="spellStart"/>
        <w:r w:rsidRPr="008A1082">
          <w:rPr>
            <w:rStyle w:val="Hyperlink"/>
            <w:rFonts w:ascii="Arial" w:hAnsi="Arial" w:cs="Arial"/>
          </w:rPr>
          <w:t>AlphaFold</w:t>
        </w:r>
        <w:proofErr w:type="spellEnd"/>
        <w:r w:rsidRPr="008A1082">
          <w:rPr>
            <w:rStyle w:val="Hyperlink"/>
            <w:rFonts w:ascii="Arial" w:hAnsi="Arial" w:cs="Arial"/>
          </w:rPr>
          <w:t xml:space="preserve"> </w:t>
        </w:r>
        <w:proofErr w:type="spellStart"/>
        <w:r w:rsidRPr="008A1082">
          <w:rPr>
            <w:rStyle w:val="Hyperlink"/>
            <w:rFonts w:ascii="Arial" w:hAnsi="Arial" w:cs="Arial"/>
          </w:rPr>
          <w:t>Protein</w:t>
        </w:r>
        <w:proofErr w:type="spellEnd"/>
        <w:r w:rsidRPr="008A1082">
          <w:rPr>
            <w:rStyle w:val="Hyperlink"/>
            <w:rFonts w:ascii="Arial" w:hAnsi="Arial" w:cs="Arial"/>
          </w:rPr>
          <w:t xml:space="preserve"> </w:t>
        </w:r>
        <w:proofErr w:type="spellStart"/>
        <w:r w:rsidRPr="008A1082">
          <w:rPr>
            <w:rStyle w:val="Hyperlink"/>
            <w:rFonts w:ascii="Arial" w:hAnsi="Arial" w:cs="Arial"/>
          </w:rPr>
          <w:t>Structure</w:t>
        </w:r>
        <w:proofErr w:type="spellEnd"/>
        <w:r w:rsidRPr="008A1082">
          <w:rPr>
            <w:rStyle w:val="Hyperlink"/>
            <w:rFonts w:ascii="Arial" w:hAnsi="Arial" w:cs="Arial"/>
          </w:rPr>
          <w:t xml:space="preserve"> </w:t>
        </w:r>
        <w:proofErr w:type="spellStart"/>
        <w:r w:rsidRPr="008A1082">
          <w:rPr>
            <w:rStyle w:val="Hyperlink"/>
            <w:rFonts w:ascii="Arial" w:hAnsi="Arial" w:cs="Arial"/>
          </w:rPr>
          <w:t>Database</w:t>
        </w:r>
        <w:proofErr w:type="spellEnd"/>
      </w:hyperlink>
    </w:p>
    <w:p w14:paraId="392B9CB3" w14:textId="77777777" w:rsidR="009E2ECB" w:rsidRPr="008A1082" w:rsidRDefault="009E2ECB" w:rsidP="009E2ECB">
      <w:pPr>
        <w:spacing w:before="100" w:beforeAutospacing="1" w:after="100" w:afterAutospacing="1"/>
        <w:jc w:val="both"/>
        <w:rPr>
          <w:rFonts w:ascii="Arial" w:hAnsi="Arial" w:cs="Arial"/>
        </w:rPr>
      </w:pPr>
      <w:r w:rsidRPr="008A1082">
        <w:rPr>
          <w:rFonts w:ascii="Arial" w:hAnsi="Arial" w:cs="Arial"/>
        </w:rPr>
        <w:t xml:space="preserve">A imagem mostra um modelo predito pelo </w:t>
      </w:r>
      <w:proofErr w:type="spellStart"/>
      <w:r w:rsidRPr="008A1082">
        <w:rPr>
          <w:rStyle w:val="Forte"/>
          <w:rFonts w:ascii="Arial" w:hAnsi="Arial" w:cs="Arial"/>
        </w:rPr>
        <w:t>AlphaFold</w:t>
      </w:r>
      <w:proofErr w:type="spellEnd"/>
      <w:r w:rsidRPr="008A1082">
        <w:rPr>
          <w:rFonts w:ascii="Arial" w:hAnsi="Arial" w:cs="Arial"/>
        </w:rPr>
        <w:t xml:space="preserve"> para a proteína identificada pelo ID </w:t>
      </w:r>
      <w:r w:rsidRPr="008A1082">
        <w:rPr>
          <w:rStyle w:val="Forte"/>
          <w:rFonts w:ascii="Arial" w:hAnsi="Arial" w:cs="Arial"/>
        </w:rPr>
        <w:t>Q9CBM0</w:t>
      </w:r>
      <w:r w:rsidRPr="008A1082">
        <w:rPr>
          <w:rFonts w:ascii="Arial" w:hAnsi="Arial" w:cs="Arial"/>
        </w:rPr>
        <w:t xml:space="preserve">, que corresponde à proteína </w:t>
      </w:r>
      <w:proofErr w:type="spellStart"/>
      <w:r w:rsidRPr="008A1082">
        <w:rPr>
          <w:rStyle w:val="Forte"/>
          <w:rFonts w:ascii="Arial" w:hAnsi="Arial" w:cs="Arial"/>
        </w:rPr>
        <w:t>MabA</w:t>
      </w:r>
      <w:proofErr w:type="spellEnd"/>
      <w:r w:rsidRPr="008A1082">
        <w:rPr>
          <w:rStyle w:val="Forte"/>
          <w:rFonts w:ascii="Arial" w:hAnsi="Arial" w:cs="Arial"/>
        </w:rPr>
        <w:t xml:space="preserve"> (gene-fabG1)</w:t>
      </w:r>
      <w:r w:rsidRPr="008A1082">
        <w:rPr>
          <w:rFonts w:ascii="Arial" w:hAnsi="Arial" w:cs="Arial"/>
        </w:rPr>
        <w:t>. Vamos analisar os parâmetros apresentados:</w:t>
      </w:r>
    </w:p>
    <w:p w14:paraId="592757D1" w14:textId="77777777" w:rsidR="009E2ECB" w:rsidRPr="008A1082" w:rsidRDefault="009E2ECB" w:rsidP="009E2EC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ID do modelo</w:t>
      </w:r>
      <w:r w:rsidRPr="008A1082">
        <w:rPr>
          <w:rFonts w:ascii="Arial" w:hAnsi="Arial" w:cs="Arial"/>
        </w:rPr>
        <w:t>:</w:t>
      </w:r>
    </w:p>
    <w:p w14:paraId="5560D021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AF-Q9CBM0-F1</w:t>
      </w:r>
      <w:r w:rsidRPr="008A1082">
        <w:rPr>
          <w:rFonts w:ascii="Arial" w:hAnsi="Arial" w:cs="Arial"/>
        </w:rPr>
        <w:t xml:space="preserve"> → Indica que esta é a estrutura predita pelo </w:t>
      </w:r>
      <w:proofErr w:type="spellStart"/>
      <w:r w:rsidRPr="008A1082">
        <w:rPr>
          <w:rStyle w:val="Forte"/>
          <w:rFonts w:ascii="Arial" w:hAnsi="Arial" w:cs="Arial"/>
        </w:rPr>
        <w:t>AlphaFold</w:t>
      </w:r>
      <w:proofErr w:type="spellEnd"/>
      <w:r w:rsidRPr="008A1082">
        <w:rPr>
          <w:rFonts w:ascii="Arial" w:hAnsi="Arial" w:cs="Arial"/>
        </w:rPr>
        <w:t xml:space="preserve"> para a proteína com ID </w:t>
      </w:r>
      <w:r w:rsidRPr="008A1082">
        <w:rPr>
          <w:rStyle w:val="Forte"/>
          <w:rFonts w:ascii="Arial" w:hAnsi="Arial" w:cs="Arial"/>
        </w:rPr>
        <w:t>Q9CBM0</w:t>
      </w:r>
      <w:r w:rsidRPr="008A1082">
        <w:rPr>
          <w:rFonts w:ascii="Arial" w:hAnsi="Arial" w:cs="Arial"/>
        </w:rPr>
        <w:t xml:space="preserve"> no banco de dados </w:t>
      </w:r>
      <w:proofErr w:type="spellStart"/>
      <w:r w:rsidRPr="008A1082">
        <w:rPr>
          <w:rFonts w:ascii="Arial" w:hAnsi="Arial" w:cs="Arial"/>
        </w:rPr>
        <w:t>Uniprot</w:t>
      </w:r>
      <w:proofErr w:type="spellEnd"/>
      <w:r w:rsidRPr="008A1082">
        <w:rPr>
          <w:rFonts w:ascii="Arial" w:hAnsi="Arial" w:cs="Arial"/>
        </w:rPr>
        <w:t>.</w:t>
      </w:r>
    </w:p>
    <w:p w14:paraId="7E1D6EB5" w14:textId="77777777" w:rsidR="009E2ECB" w:rsidRPr="008A1082" w:rsidRDefault="009E2ECB" w:rsidP="009E2EC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8A1082">
        <w:rPr>
          <w:rStyle w:val="Forte"/>
          <w:rFonts w:ascii="Arial" w:hAnsi="Arial" w:cs="Arial"/>
        </w:rPr>
        <w:t>Oligoestado</w:t>
      </w:r>
      <w:proofErr w:type="spellEnd"/>
      <w:r w:rsidRPr="008A1082">
        <w:rPr>
          <w:rFonts w:ascii="Arial" w:hAnsi="Arial" w:cs="Arial"/>
        </w:rPr>
        <w:t>:</w:t>
      </w:r>
    </w:p>
    <w:p w14:paraId="4A2D0519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Monômero</w:t>
      </w:r>
      <w:r w:rsidRPr="008A1082">
        <w:rPr>
          <w:rFonts w:ascii="Arial" w:hAnsi="Arial" w:cs="Arial"/>
        </w:rPr>
        <w:t xml:space="preserve"> → A previsão considera que a proteína funciona como uma única unidade (não como um dímero ou outro complexo oligomérico).</w:t>
      </w:r>
    </w:p>
    <w:p w14:paraId="3C2966ED" w14:textId="77777777" w:rsidR="009E2ECB" w:rsidRPr="008A1082" w:rsidRDefault="009E2ECB" w:rsidP="009E2EC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 xml:space="preserve">Média </w:t>
      </w:r>
      <w:proofErr w:type="spellStart"/>
      <w:r w:rsidRPr="008A1082">
        <w:rPr>
          <w:rStyle w:val="Forte"/>
          <w:rFonts w:ascii="Arial" w:hAnsi="Arial" w:cs="Arial"/>
        </w:rPr>
        <w:t>pLDDT</w:t>
      </w:r>
      <w:proofErr w:type="spellEnd"/>
      <w:r w:rsidRPr="008A1082">
        <w:rPr>
          <w:rFonts w:ascii="Arial" w:hAnsi="Arial" w:cs="Arial"/>
        </w:rPr>
        <w:t>:</w:t>
      </w:r>
    </w:p>
    <w:p w14:paraId="1B5E5995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93.60</w:t>
      </w:r>
      <w:r w:rsidRPr="008A1082">
        <w:rPr>
          <w:rFonts w:ascii="Arial" w:hAnsi="Arial" w:cs="Arial"/>
        </w:rPr>
        <w:t xml:space="preserve"> → O </w:t>
      </w:r>
      <w:proofErr w:type="spellStart"/>
      <w:r w:rsidRPr="008A1082">
        <w:rPr>
          <w:rStyle w:val="Forte"/>
          <w:rFonts w:ascii="Arial" w:hAnsi="Arial" w:cs="Arial"/>
        </w:rPr>
        <w:t>pLDDT</w:t>
      </w:r>
      <w:proofErr w:type="spellEnd"/>
      <w:r w:rsidRPr="008A1082">
        <w:rPr>
          <w:rStyle w:val="Forte"/>
          <w:rFonts w:ascii="Arial" w:hAnsi="Arial" w:cs="Arial"/>
        </w:rPr>
        <w:t xml:space="preserve"> (</w:t>
      </w:r>
      <w:proofErr w:type="spellStart"/>
      <w:r w:rsidRPr="008A1082">
        <w:rPr>
          <w:rStyle w:val="Forte"/>
          <w:rFonts w:ascii="Arial" w:hAnsi="Arial" w:cs="Arial"/>
        </w:rPr>
        <w:t>predicted</w:t>
      </w:r>
      <w:proofErr w:type="spellEnd"/>
      <w:r w:rsidRPr="008A1082">
        <w:rPr>
          <w:rStyle w:val="Forte"/>
          <w:rFonts w:ascii="Arial" w:hAnsi="Arial" w:cs="Arial"/>
        </w:rPr>
        <w:t xml:space="preserve"> Local </w:t>
      </w:r>
      <w:proofErr w:type="spellStart"/>
      <w:r w:rsidRPr="008A1082">
        <w:rPr>
          <w:rStyle w:val="Forte"/>
          <w:rFonts w:ascii="Arial" w:hAnsi="Arial" w:cs="Arial"/>
        </w:rPr>
        <w:t>Distance</w:t>
      </w:r>
      <w:proofErr w:type="spellEnd"/>
      <w:r w:rsidRPr="008A1082">
        <w:rPr>
          <w:rStyle w:val="Forte"/>
          <w:rFonts w:ascii="Arial" w:hAnsi="Arial" w:cs="Arial"/>
        </w:rPr>
        <w:t xml:space="preserve"> </w:t>
      </w:r>
      <w:proofErr w:type="spellStart"/>
      <w:r w:rsidRPr="008A1082">
        <w:rPr>
          <w:rStyle w:val="Forte"/>
          <w:rFonts w:ascii="Arial" w:hAnsi="Arial" w:cs="Arial"/>
        </w:rPr>
        <w:t>Difference</w:t>
      </w:r>
      <w:proofErr w:type="spellEnd"/>
      <w:r w:rsidRPr="008A1082">
        <w:rPr>
          <w:rStyle w:val="Forte"/>
          <w:rFonts w:ascii="Arial" w:hAnsi="Arial" w:cs="Arial"/>
        </w:rPr>
        <w:t xml:space="preserve"> Test)</w:t>
      </w:r>
      <w:r w:rsidRPr="008A1082">
        <w:rPr>
          <w:rFonts w:ascii="Arial" w:hAnsi="Arial" w:cs="Arial"/>
        </w:rPr>
        <w:t xml:space="preserve"> é uma métrica que indica a confiabilidade da predição da estrutura.</w:t>
      </w:r>
    </w:p>
    <w:p w14:paraId="0D9F678C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Fonts w:ascii="Arial" w:hAnsi="Arial" w:cs="Arial"/>
        </w:rPr>
        <w:t xml:space="preserve">Valores </w:t>
      </w:r>
      <w:r w:rsidRPr="008A1082">
        <w:rPr>
          <w:rStyle w:val="Forte"/>
          <w:rFonts w:ascii="Arial" w:hAnsi="Arial" w:cs="Arial"/>
        </w:rPr>
        <w:t>acima de 90</w:t>
      </w:r>
      <w:r w:rsidRPr="008A1082">
        <w:rPr>
          <w:rFonts w:ascii="Arial" w:hAnsi="Arial" w:cs="Arial"/>
        </w:rPr>
        <w:t xml:space="preserve"> indicam </w:t>
      </w:r>
      <w:r w:rsidRPr="008A1082">
        <w:rPr>
          <w:rStyle w:val="Forte"/>
          <w:rFonts w:ascii="Arial" w:hAnsi="Arial" w:cs="Arial"/>
        </w:rPr>
        <w:t>alta confiança</w:t>
      </w:r>
      <w:r w:rsidRPr="008A1082">
        <w:rPr>
          <w:rFonts w:ascii="Arial" w:hAnsi="Arial" w:cs="Arial"/>
        </w:rPr>
        <w:t>, sugerindo que a estrutura predita é bastante precisa.</w:t>
      </w:r>
    </w:p>
    <w:p w14:paraId="3754251A" w14:textId="77777777" w:rsidR="009E2ECB" w:rsidRPr="008A1082" w:rsidRDefault="009E2ECB" w:rsidP="009E2EC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Gama</w:t>
      </w:r>
      <w:r w:rsidRPr="008A1082">
        <w:rPr>
          <w:rFonts w:ascii="Arial" w:hAnsi="Arial" w:cs="Arial"/>
        </w:rPr>
        <w:t>:</w:t>
      </w:r>
    </w:p>
    <w:p w14:paraId="3220159C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Fonts w:ascii="Arial" w:hAnsi="Arial" w:cs="Arial"/>
        </w:rPr>
        <w:t xml:space="preserve">O gráfico azul indica a distribuição do </w:t>
      </w:r>
      <w:proofErr w:type="spellStart"/>
      <w:r w:rsidRPr="008A1082">
        <w:rPr>
          <w:rStyle w:val="Forte"/>
          <w:rFonts w:ascii="Arial" w:hAnsi="Arial" w:cs="Arial"/>
        </w:rPr>
        <w:t>pLDDT</w:t>
      </w:r>
      <w:proofErr w:type="spellEnd"/>
      <w:r w:rsidRPr="008A1082">
        <w:rPr>
          <w:rFonts w:ascii="Arial" w:hAnsi="Arial" w:cs="Arial"/>
        </w:rPr>
        <w:t xml:space="preserve"> ao longo da estrutura, ajudando a visualizar regiões de maior ou menor confiança na predição.</w:t>
      </w:r>
    </w:p>
    <w:p w14:paraId="13E9E03C" w14:textId="77777777" w:rsidR="009E2ECB" w:rsidRPr="008A1082" w:rsidRDefault="009E2ECB" w:rsidP="009E2EC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8A1082">
        <w:rPr>
          <w:rStyle w:val="Forte"/>
          <w:rFonts w:ascii="Arial" w:hAnsi="Arial" w:cs="Arial"/>
        </w:rPr>
        <w:t>Trg</w:t>
      </w:r>
      <w:proofErr w:type="spellEnd"/>
      <w:r w:rsidRPr="008A1082">
        <w:rPr>
          <w:rStyle w:val="Forte"/>
          <w:rFonts w:ascii="Arial" w:hAnsi="Arial" w:cs="Arial"/>
        </w:rPr>
        <w:t xml:space="preserve">-MDL </w:t>
      </w:r>
      <w:proofErr w:type="spellStart"/>
      <w:r w:rsidRPr="008A1082">
        <w:rPr>
          <w:rStyle w:val="Forte"/>
          <w:rFonts w:ascii="Arial" w:hAnsi="Arial" w:cs="Arial"/>
        </w:rPr>
        <w:t>Seq</w:t>
      </w:r>
      <w:proofErr w:type="spellEnd"/>
      <w:r w:rsidRPr="008A1082">
        <w:rPr>
          <w:rStyle w:val="Forte"/>
          <w:rFonts w:ascii="Arial" w:hAnsi="Arial" w:cs="Arial"/>
        </w:rPr>
        <w:t xml:space="preserve"> Id (%)</w:t>
      </w:r>
      <w:r w:rsidRPr="008A1082">
        <w:rPr>
          <w:rFonts w:ascii="Arial" w:hAnsi="Arial" w:cs="Arial"/>
        </w:rPr>
        <w:t>:</w:t>
      </w:r>
    </w:p>
    <w:p w14:paraId="0E4C1A1E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Style w:val="Forte"/>
          <w:rFonts w:ascii="Arial" w:hAnsi="Arial" w:cs="Arial"/>
        </w:rPr>
        <w:t>100.0</w:t>
      </w:r>
      <w:r w:rsidRPr="008A1082">
        <w:rPr>
          <w:rFonts w:ascii="Arial" w:hAnsi="Arial" w:cs="Arial"/>
        </w:rPr>
        <w:t xml:space="preserve"> → Indica que a sequência usada para prever esta estrutura tem </w:t>
      </w:r>
      <w:r w:rsidRPr="008A1082">
        <w:rPr>
          <w:rStyle w:val="Forte"/>
          <w:rFonts w:ascii="Arial" w:hAnsi="Arial" w:cs="Arial"/>
        </w:rPr>
        <w:t>100% de identidade</w:t>
      </w:r>
      <w:r w:rsidRPr="008A1082">
        <w:rPr>
          <w:rFonts w:ascii="Arial" w:hAnsi="Arial" w:cs="Arial"/>
        </w:rPr>
        <w:t xml:space="preserve"> com o modelo-alvo.</w:t>
      </w:r>
    </w:p>
    <w:p w14:paraId="1892ACD8" w14:textId="77777777" w:rsidR="009E2ECB" w:rsidRPr="008A1082" w:rsidRDefault="009E2ECB" w:rsidP="009E2ECB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A1082">
        <w:rPr>
          <w:rFonts w:ascii="Arial" w:hAnsi="Arial" w:cs="Arial"/>
        </w:rPr>
        <w:t>Isso significa que a predição foi feita diretamente a partir da sequência da proteína sem necessidade de ajustes ou aproximações.</w:t>
      </w:r>
    </w:p>
    <w:p w14:paraId="7CEA5D08" w14:textId="77777777" w:rsidR="009E2ECB" w:rsidRPr="0081391D" w:rsidRDefault="009E2ECB" w:rsidP="00107459">
      <w:pPr>
        <w:tabs>
          <w:tab w:val="left" w:pos="3210"/>
        </w:tabs>
        <w:rPr>
          <w:rFonts w:ascii="Arial" w:hAnsi="Arial" w:cs="Arial"/>
          <w:sz w:val="24"/>
          <w:szCs w:val="24"/>
        </w:rPr>
      </w:pPr>
    </w:p>
    <w:sectPr w:rsidR="009E2ECB" w:rsidRPr="008139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F3393"/>
    <w:multiLevelType w:val="multilevel"/>
    <w:tmpl w:val="A440D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A700D"/>
    <w:multiLevelType w:val="multilevel"/>
    <w:tmpl w:val="EA1C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F71670"/>
    <w:multiLevelType w:val="multilevel"/>
    <w:tmpl w:val="137A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BF"/>
    <w:rsid w:val="0001506B"/>
    <w:rsid w:val="0009381E"/>
    <w:rsid w:val="000E03AA"/>
    <w:rsid w:val="00107459"/>
    <w:rsid w:val="001E7B07"/>
    <w:rsid w:val="00420F91"/>
    <w:rsid w:val="00431F05"/>
    <w:rsid w:val="00466E60"/>
    <w:rsid w:val="004F05DF"/>
    <w:rsid w:val="0074788C"/>
    <w:rsid w:val="00810657"/>
    <w:rsid w:val="0081391D"/>
    <w:rsid w:val="00975166"/>
    <w:rsid w:val="009B182B"/>
    <w:rsid w:val="009E2ECB"/>
    <w:rsid w:val="009F349B"/>
    <w:rsid w:val="00A465CC"/>
    <w:rsid w:val="00AF3D8E"/>
    <w:rsid w:val="00B22EBF"/>
    <w:rsid w:val="00BA1D60"/>
    <w:rsid w:val="00C81CA3"/>
    <w:rsid w:val="00D37E5F"/>
    <w:rsid w:val="00D473B5"/>
    <w:rsid w:val="00DB40CF"/>
    <w:rsid w:val="00F10429"/>
    <w:rsid w:val="00FB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1EE2B"/>
  <w15:chartTrackingRefBased/>
  <w15:docId w15:val="{0FDCE424-2538-4725-BC64-BD1A638D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F05"/>
  </w:style>
  <w:style w:type="paragraph" w:styleId="Ttulo3">
    <w:name w:val="heading 3"/>
    <w:basedOn w:val="Normal"/>
    <w:link w:val="Ttulo3Char"/>
    <w:uiPriority w:val="9"/>
    <w:qFormat/>
    <w:rsid w:val="007478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22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74788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74788C"/>
    <w:rPr>
      <w:b/>
      <w:bCs/>
    </w:rPr>
  </w:style>
  <w:style w:type="character" w:styleId="Hyperlink">
    <w:name w:val="Hyperlink"/>
    <w:basedOn w:val="Fontepargpadro"/>
    <w:uiPriority w:val="99"/>
    <w:unhideWhenUsed/>
    <w:rsid w:val="009E2E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lphafold.ebi.ac.uk/entry/Q9CBM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1389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Daudo</dc:creator>
  <cp:keywords/>
  <dc:description/>
  <cp:lastModifiedBy>Hamza Daudo</cp:lastModifiedBy>
  <cp:revision>30</cp:revision>
  <dcterms:created xsi:type="dcterms:W3CDTF">2025-04-05T21:04:00Z</dcterms:created>
  <dcterms:modified xsi:type="dcterms:W3CDTF">2025-04-06T01:06:00Z</dcterms:modified>
</cp:coreProperties>
</file>