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800" w:after="120"/>
        <w:jc w:val="center"/>
      </w:pPr>
      <w:r>
        <w:rPr>
          <w:rFonts w:ascii="Times New Roman" w:hAnsi="Times New Roman" w:cs="Times New Roman" w:eastAsia="Times New Roman"/>
          <w:b/>
          <w:i w:val="0"/>
          <w:color w:val="1F3B57"/>
          <w:sz w:val="24"/>
        </w:rPr>
        <w:t>UNIVERSIDADE LÚRIO</w:t>
      </w:r>
    </w:p>
    <w:p>
      <w:pPr>
        <w:spacing w:line="276" w:lineRule="auto" w:before="0" w:after="480"/>
        <w:jc w:val="center"/>
      </w:pPr>
      <w:r>
        <w:rPr>
          <w:rFonts w:ascii="Times New Roman" w:hAnsi="Times New Roman" w:cs="Times New Roman" w:eastAsia="Times New Roman"/>
          <w:b w:val="0"/>
          <w:i w:val="0"/>
          <w:color w:val="555555"/>
          <w:sz w:val="20"/>
        </w:rPr>
        <w:t>Faculdade de Ciências de Saúde · Licenciatura em Optometria</w:t>
      </w:r>
    </w:p>
    <w:p>
      <w:pPr>
        <w:spacing w:line="276" w:lineRule="auto" w:before="0" w:after="160"/>
        <w:jc w:val="center"/>
      </w:pPr>
      <w:r>
        <w:rPr>
          <w:rFonts w:ascii="Times New Roman" w:hAnsi="Times New Roman" w:cs="Times New Roman" w:eastAsia="Times New Roman"/>
          <w:b/>
          <w:i w:val="0"/>
          <w:color w:val="1F3B57"/>
          <w:sz w:val="40"/>
        </w:rPr>
        <w:t>SIMULAÇÃO DE ARGUIÇÃO — PERGUNTAS DO JÚRI</w:t>
      </w:r>
    </w:p>
    <w:p>
      <w:pPr>
        <w:spacing w:line="276" w:lineRule="auto" w:before="0" w:after="400"/>
        <w:jc w:val="center"/>
      </w:pPr>
      <w:r>
        <w:rPr>
          <w:rFonts w:ascii="Times New Roman" w:hAnsi="Times New Roman" w:cs="Times New Roman" w:eastAsia="Times New Roman"/>
          <w:b w:val="0"/>
          <w:i w:val="0"/>
          <w:color w:val="555555"/>
          <w:sz w:val="24"/>
        </w:rPr>
        <w:t>52 perguntas em 12 blocos, com risco, armadilha e resposta preparada</w:t>
      </w:r>
    </w:p>
    <w:p>
      <w:pPr>
        <w:spacing w:line="276" w:lineRule="auto" w:before="400" w:after="80"/>
        <w:jc w:val="center"/>
      </w:pPr>
      <w:r>
        <w:rPr>
          <w:rFonts w:ascii="Times New Roman" w:hAnsi="Times New Roman" w:cs="Times New Roman" w:eastAsia="Times New Roman"/>
          <w:b/>
          <w:i w:val="0"/>
          <w:sz w:val="26"/>
        </w:rPr>
        <w:t>Muanchura Ossufo Sualehé</w:t>
      </w:r>
    </w:p>
    <w:p>
      <w:pPr>
        <w:spacing w:line="276" w:lineRule="auto" w:before="0" w:after="600"/>
        <w:jc w:val="center"/>
      </w:pPr>
      <w:r>
        <w:rPr>
          <w:rFonts w:ascii="Times New Roman" w:hAnsi="Times New Roman" w:cs="Times New Roman" w:eastAsia="Times New Roman"/>
          <w:b w:val="0"/>
          <w:i/>
          <w:color w:val="555555"/>
          <w:sz w:val="20"/>
        </w:rPr>
        <w:t>Conhecimento, atitudes e práticas sobre a prevenção da cegueira numa comunidade rural do distrito de Monapo, província de Nampula, 2027</w:t>
      </w:r>
    </w:p>
    <w:p>
      <w:pPr>
        <w:spacing w:line="276" w:lineRule="auto" w:before="600" w:after="80"/>
        <w:jc w:val="center"/>
      </w:pPr>
      <w:r>
        <w:rPr>
          <w:rFonts w:ascii="Times New Roman" w:hAnsi="Times New Roman" w:cs="Times New Roman" w:eastAsia="Times New Roman"/>
          <w:b w:val="0"/>
          <w:i/>
          <w:color w:val="555555"/>
          <w:sz w:val="18"/>
        </w:rPr>
        <w:t>Perguntas construídas exclusivamente a partir do conteúdo real de «PROTOCOLO MUANCHURA.docx». O documento simula um oponente exigente numa defesa de PROJECTO: avalia o desenho, a exequibilidade e a ética, nunca resultados. Uso interno.</w:t>
      </w:r>
    </w:p>
    <w:p>
      <w:r>
        <w:br w:type="page"/>
      </w:r>
    </w:p>
    <w:p>
      <w:pPr>
        <w:spacing w:line="276" w:lineRule="auto" w:before="280" w:after="120"/>
        <w:jc w:val="left"/>
      </w:pPr>
      <w:r>
        <w:rPr>
          <w:rFonts w:ascii="Times New Roman" w:hAnsi="Times New Roman" w:cs="Times New Roman" w:eastAsia="Times New Roman"/>
          <w:b/>
          <w:i w:val="0"/>
          <w:color w:val="1F3B57"/>
          <w:sz w:val="26"/>
        </w:rPr>
        <w:t>Como usar este documento</w:t>
      </w:r>
    </w:p>
    <w:p>
      <w:pPr>
        <w:spacing w:line="276" w:lineRule="auto" w:before="0" w:after="80"/>
        <w:jc w:val="both"/>
      </w:pPr>
      <w:r>
        <w:rPr>
          <w:rFonts w:ascii="Times New Roman" w:hAnsi="Times New Roman" w:cs="Times New Roman" w:eastAsia="Times New Roman"/>
          <w:b w:val="0"/>
          <w:i w:val="0"/>
          <w:sz w:val="20"/>
        </w:rPr>
        <w:t>Cada pergunta traz três elementos. «Porque perguntam» explica o que o membro do júri está realmente a testar — quase nunca é a pergunta literal. «Armadilha» assinala a resposta instintiva que o afunda. «Como responder» dá o conteúdo, não a formulação: diga-o pelas suas palavras, mas não perca nenhum dos elementos indicados.</w:t>
      </w:r>
    </w:p>
    <w:p>
      <w:pPr>
        <w:spacing w:line="276" w:lineRule="auto" w:before="0" w:after="80"/>
        <w:jc w:val="both"/>
      </w:pPr>
      <w:r>
        <w:rPr>
          <w:rFonts w:ascii="Times New Roman" w:hAnsi="Times New Roman" w:cs="Times New Roman" w:eastAsia="Times New Roman"/>
          <w:b w:val="0"/>
          <w:i w:val="0"/>
          <w:sz w:val="20"/>
        </w:rPr>
        <w:t>O risco indica a probabilidade de a pergunta ser feita combinada com o dano que causa se for mal respondida. Prepare todas as de risco alto até saber responder sem hesitar; as de risco baixo servem para consolidar o domínio do documento.</w:t>
      </w:r>
    </w:p>
    <w:tbl>
      <w:tblPr>
        <w:tblStyle w:val="TableGrid"/>
        <w:tblW w:type="auto" w:w="0"/>
        <w:tblLook w:firstColumn="1" w:firstRow="1" w:lastColumn="0" w:lastRow="0" w:noHBand="0" w:noVBand="1" w:val="04A0"/>
      </w:tblPr>
      <w:tblGrid>
        <w:gridCol w:w="9746"/>
      </w:tblGrid>
      <w:tr>
        <w:tc>
          <w:tcPr>
            <w:tcW w:type="dxa" w:w="9746"/>
            <w:shd w:val="clear" w:color="auto" w:fill="F4F4F4"/>
          </w:tcPr>
          <w:p>
            <w:pPr>
              <w:spacing w:line="276" w:lineRule="auto"/>
              <w:jc w:val="both"/>
            </w:pPr>
            <w:r/>
            <w:r>
              <w:rPr>
                <w:rFonts w:ascii="Times New Roman" w:hAnsi="Times New Roman" w:cs="Times New Roman" w:eastAsia="Times New Roman"/>
                <w:b/>
                <w:i w:val="0"/>
                <w:color w:val="B03028"/>
                <w:sz w:val="20"/>
              </w:rPr>
              <w:t xml:space="preserve">REGRA DE OURO  </w:t>
            </w:r>
            <w:r>
              <w:rPr>
                <w:rFonts w:ascii="Times New Roman" w:hAnsi="Times New Roman" w:cs="Times New Roman" w:eastAsia="Times New Roman"/>
                <w:b w:val="0"/>
                <w:i w:val="0"/>
                <w:sz w:val="20"/>
              </w:rPr>
              <w:t>Fale sempre no futuro. Numa defesa de protocolo, «os dados mostraram» é o erro que não se recupera. Segunda regra: quando a crítica é justa — e neste protocolo várias são — a resposta certa começa por «tem razão» e continua com a correcção concreta. Defender o indefensável custa mais do que a falha original.</w:t>
            </w:r>
          </w:p>
        </w:tc>
      </w:tr>
    </w:tbl>
    <w:p>
      <w:pPr>
        <w:spacing w:line="276" w:lineRule="auto" w:before="0" w:after="120"/>
        <w:jc w:val="both"/>
      </w:pPr>
    </w:p>
    <w:p>
      <w:r>
        <w:br w:type="page"/>
      </w:r>
    </w:p>
    <w:p>
      <w:pPr>
        <w:spacing w:line="276" w:lineRule="auto" w:before="280" w:after="120"/>
        <w:jc w:val="left"/>
      </w:pPr>
      <w:r>
        <w:rPr>
          <w:rFonts w:ascii="Times New Roman" w:hAnsi="Times New Roman" w:cs="Times New Roman" w:eastAsia="Times New Roman"/>
          <w:b/>
          <w:i w:val="0"/>
          <w:color w:val="1F3B57"/>
          <w:sz w:val="26"/>
        </w:rPr>
        <w:t>Bloco 1. Pertinência e originalidade</w:t>
      </w:r>
    </w:p>
    <w:p>
      <w:pPr>
        <w:spacing w:line="276" w:lineRule="auto" w:before="180" w:after="60"/>
        <w:jc w:val="both"/>
      </w:pPr>
      <w:r>
        <w:rPr>
          <w:rFonts w:ascii="Times New Roman" w:hAnsi="Times New Roman" w:cs="Times New Roman" w:eastAsia="Times New Roman"/>
          <w:b/>
          <w:i w:val="0"/>
          <w:color w:val="1F3B57"/>
          <w:sz w:val="20"/>
        </w:rPr>
        <w:t xml:space="preserve">P1. </w:t>
      </w:r>
      <w:r>
        <w:rPr>
          <w:rFonts w:ascii="Times New Roman" w:hAnsi="Times New Roman" w:cs="Times New Roman" w:eastAsia="Times New Roman"/>
          <w:b/>
          <w:i w:val="0"/>
          <w:sz w:val="20"/>
        </w:rPr>
        <w:t>O que é que este estudo traz de novo que os inquéritos RAAB de Nampula, de 2011 e 2018, já não tenham dito?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distingue o que é medir a magnitude do problema do que é medir os determinantes comportamentais. É a pergunta que separa quem percebeu a lacuna de quem a copiou.</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que os RAAB são antigos. Não são: 2018 é recente e o problema não é a data.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Os RAAB medem prevalência e causas de cegueira — quantas pessoas estão cegas e de quê. Dizem que em 2018 a prevalência nos maiores de 50 anos era de 4,5 % e que a catarata é a principal causa. O que não dizem, porque não é o seu desenho, é por que razão as pessoas não procuram tratamento para uma doença que se opera. Os RAAB revelam, por exemplo, que a cobertura cirúrgica é de 40 % nos homens e 19,4 % nas mulheres — mas não explicam essa diferença. É essa camada explicativa, do lado do conhecimento, das atitudes e das práticas, que o meu estudo se propõe medir, e é a que falta para desenhar intervenções.</w:t>
      </w:r>
    </w:p>
    <w:p>
      <w:pPr>
        <w:spacing w:line="276" w:lineRule="auto" w:before="180" w:after="60"/>
        <w:jc w:val="both"/>
      </w:pPr>
      <w:r>
        <w:rPr>
          <w:rFonts w:ascii="Times New Roman" w:hAnsi="Times New Roman" w:cs="Times New Roman" w:eastAsia="Times New Roman"/>
          <w:b/>
          <w:i w:val="0"/>
          <w:color w:val="1F3B57"/>
          <w:sz w:val="20"/>
        </w:rPr>
        <w:t xml:space="preserve">P2. </w:t>
      </w:r>
      <w:r>
        <w:rPr>
          <w:rFonts w:ascii="Times New Roman" w:hAnsi="Times New Roman" w:cs="Times New Roman" w:eastAsia="Times New Roman"/>
          <w:b/>
          <w:i w:val="0"/>
          <w:sz w:val="20"/>
        </w:rPr>
        <w:t>Já existe o estudo de Sengo (2022) sobre barreiras ao acesso em Nampula e o de Thompson (2015) sobre serviços de refracção. Porque é que o seu não é uma repetição?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 se leu criticamente as duas referências moçambicanas mais próximas do seu tema, ou se apenas as citou.</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foram feitos noutro distrito. É verdade, mas é o argumento mais fraco possível — implicaria que qualquer estudo é original desde que mude de distrito.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Os dois estudos medem barreiras ao acesso, que é apenas uma das três dimensões que proponho. Thompson quantifica as barreiras declaradas — custo 53 %, ausência de necessidade sentida 28 %, distância 15 % — e Sengo caracteriza sintomas e uso de serviços em comunidades suburbanas. Nenhum dos dois avalia o que a população sabe sobre as causas evitáveis de cegueira, nem as suas atitudes face à prevenção, nem testa a associação entre esses domínios e o comportamento. Além disso, ambos foram feitos em contexto suburbano ou provincial; o meu é rural e distrital. A diferença central é de construto, não de geografia.</w:t>
      </w:r>
    </w:p>
    <w:p>
      <w:pPr>
        <w:spacing w:line="276" w:lineRule="auto" w:before="180" w:after="60"/>
        <w:jc w:val="both"/>
      </w:pPr>
      <w:r>
        <w:rPr>
          <w:rFonts w:ascii="Times New Roman" w:hAnsi="Times New Roman" w:cs="Times New Roman" w:eastAsia="Times New Roman"/>
          <w:b/>
          <w:i w:val="0"/>
          <w:color w:val="1F3B57"/>
          <w:sz w:val="20"/>
        </w:rPr>
        <w:t xml:space="preserve">P3. </w:t>
      </w:r>
      <w:r>
        <w:rPr>
          <w:rFonts w:ascii="Times New Roman" w:hAnsi="Times New Roman" w:cs="Times New Roman" w:eastAsia="Times New Roman"/>
          <w:b/>
          <w:i w:val="0"/>
          <w:sz w:val="20"/>
        </w:rPr>
        <w:t>Porquê Monapo e não outro distrito?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Procura saber se a escolha é fundamentada ou se é simplesmente onde o estudante tem acesso.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«porque é onde tenho contactos». É a verdade em muitos trabalhos, mas não é um critério científico.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Monapo é um distrito rural do corredor de Nacala, com população maioritariamente Emakhuwa e agricultura de subsistência, na província com os dois RAAB documentados e com focos hiperendémicos de tracoma identificados no levantamento nacional. Reúne, portanto, as três condições que interessam: carga de doença documentada ao nível provincial, ausência de dados comportamentais ao nível distrital, e acessibilidade logística a partir de Nampula, que é o que torna o estudo exequível com 125.000 MZN. Acrescento que a viabilidade de acesso é um critério legítimo num protocolo de licenciatura, desde que declarado.</w:t>
      </w:r>
    </w:p>
    <w:p>
      <w:pPr>
        <w:spacing w:line="276" w:lineRule="auto" w:before="180" w:after="60"/>
        <w:jc w:val="both"/>
      </w:pPr>
      <w:r>
        <w:rPr>
          <w:rFonts w:ascii="Times New Roman" w:hAnsi="Times New Roman" w:cs="Times New Roman" w:eastAsia="Times New Roman"/>
          <w:b/>
          <w:i w:val="0"/>
          <w:color w:val="1F3B57"/>
          <w:sz w:val="20"/>
        </w:rPr>
        <w:t xml:space="preserve">P4. </w:t>
      </w:r>
      <w:r>
        <w:rPr>
          <w:rFonts w:ascii="Times New Roman" w:hAnsi="Times New Roman" w:cs="Times New Roman" w:eastAsia="Times New Roman"/>
          <w:b/>
          <w:i w:val="0"/>
          <w:sz w:val="20"/>
        </w:rPr>
        <w:t>Se o estudo é numa comunidade, que utilidade têm os resultados para a política distrital ou provincial que invoca na justificação?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compreende os limites da inferência ou se sobre-vende o trabalho.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Afirmar que os resultados são generalizáveis ao distrito. Não são, e o júri sabe-o.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inferência estatística válida limita-se à comunidade amostrada. O que os resultados dão às autoridades não é um retrato do distrito, mas um primeiro diagnóstico local replicável: identifica quais são as lacunas de conhecimento e as barreiras concretas numa comunidade rural típica, e fornece um instrumento já adaptado e validado em Emakhuwa que pode ser aplicado noutros postos administrativos a custo muito menor. Reconheço que a redacção da justificação está mais ambiciosa do que o desenho permite e vou corrigi-la.</w:t>
      </w:r>
    </w:p>
    <w:p>
      <w:pPr>
        <w:spacing w:line="276" w:lineRule="auto" w:before="180" w:after="60"/>
        <w:jc w:val="both"/>
      </w:pPr>
      <w:r>
        <w:rPr>
          <w:rFonts w:ascii="Times New Roman" w:hAnsi="Times New Roman" w:cs="Times New Roman" w:eastAsia="Times New Roman"/>
          <w:b/>
          <w:i w:val="0"/>
          <w:color w:val="1F3B57"/>
          <w:sz w:val="20"/>
        </w:rPr>
        <w:t xml:space="preserve">P5. </w:t>
      </w:r>
      <w:r>
        <w:rPr>
          <w:rFonts w:ascii="Times New Roman" w:hAnsi="Times New Roman" w:cs="Times New Roman" w:eastAsia="Times New Roman"/>
          <w:b/>
          <w:i w:val="0"/>
          <w:sz w:val="20"/>
        </w:rPr>
        <w:t>Qual é a hipótese de que este estudo produza alguma coisa que a literatura internacional já não tenha demonstrado — que a escolaridade se associa a melhores práticas?</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Provocação legítima: se o resultado é previsível, para que serve o estudo?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que o resultado será diferente. Provavelmente não será.</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verdade que o padrão geral é previsível: o Quadro 1 mostra a escolaridade associada a melhores resultados em praticamente todos os catorze estudos. Mas o valor deste estudo não está em descobrir o padrão, está em quantificá-lo neste contexto. Uma intervenção educativa em Monapo precisa de saber quantos por cento da população desconhece que a catarata se opera, quais as três barreiras mais referidas e em que subgrupo se concentram — e essa informação não existe em nenhuma parte. Um estudo de saúde pública não tem de ser conceptualmente novo para ser operacionalmente indispensável.</w:t>
      </w:r>
    </w:p>
    <w:p>
      <w:pPr>
        <w:spacing w:line="276" w:lineRule="auto" w:before="280" w:after="120"/>
        <w:jc w:val="left"/>
      </w:pPr>
      <w:r>
        <w:rPr>
          <w:rFonts w:ascii="Times New Roman" w:hAnsi="Times New Roman" w:cs="Times New Roman" w:eastAsia="Times New Roman"/>
          <w:b/>
          <w:i w:val="0"/>
          <w:color w:val="1F3B57"/>
          <w:sz w:val="26"/>
        </w:rPr>
        <w:t>Bloco 2. Problema e pergunta de investigação</w:t>
      </w:r>
    </w:p>
    <w:p>
      <w:pPr>
        <w:spacing w:line="276" w:lineRule="auto" w:before="180" w:after="60"/>
        <w:jc w:val="both"/>
      </w:pPr>
      <w:r>
        <w:rPr>
          <w:rFonts w:ascii="Times New Roman" w:hAnsi="Times New Roman" w:cs="Times New Roman" w:eastAsia="Times New Roman"/>
          <w:b/>
          <w:i w:val="0"/>
          <w:color w:val="1F3B57"/>
          <w:sz w:val="20"/>
        </w:rPr>
        <w:t xml:space="preserve">P6. </w:t>
      </w:r>
      <w:r>
        <w:rPr>
          <w:rFonts w:ascii="Times New Roman" w:hAnsi="Times New Roman" w:cs="Times New Roman" w:eastAsia="Times New Roman"/>
          <w:b/>
          <w:i w:val="0"/>
          <w:sz w:val="20"/>
        </w:rPr>
        <w:t>A sua pergunta de investigação é «qual é o conhecimento, quais são as atitudes e as práticas». É uma pergunta descritiva. Porque prevê então regressão logística?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Ataca directamente a incoerência entre a pergunta declarada e o plano de análise. É uma das falhas reais do protocolo.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a regressão «complementa» a descrição. O júri quer ouvir que a pergunta está incompleta.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razão. A pergunta formulada cobre os objectivos específicos 1 a 4, que são descritivos, mas não cobre o objectivo específico 5, que é analítico e é o que justifica a regressão logística. Vou acrescentar uma segunda pergunta de investigação: que factores sociodemográficos e que nível de conhecimento se associam a práticas adequadas de prevenção da cegueira nesta comunidade? É a pergunta que o meu plano de análise já responde e que faltava escrever.</w:t>
      </w:r>
    </w:p>
    <w:p>
      <w:pPr>
        <w:spacing w:line="276" w:lineRule="auto" w:before="180" w:after="60"/>
        <w:jc w:val="both"/>
      </w:pPr>
      <w:r>
        <w:rPr>
          <w:rFonts w:ascii="Times New Roman" w:hAnsi="Times New Roman" w:cs="Times New Roman" w:eastAsia="Times New Roman"/>
          <w:b/>
          <w:i w:val="0"/>
          <w:color w:val="1F3B57"/>
          <w:sz w:val="20"/>
        </w:rPr>
        <w:t xml:space="preserve">P7. </w:t>
      </w:r>
      <w:r>
        <w:rPr>
          <w:rFonts w:ascii="Times New Roman" w:hAnsi="Times New Roman" w:cs="Times New Roman" w:eastAsia="Times New Roman"/>
          <w:b/>
          <w:i w:val="0"/>
          <w:sz w:val="20"/>
        </w:rPr>
        <w:t>Afirma que não existem dados locais sobre conhecimento, atitudes e práticas em Monapo. Como o verificou?</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a solidez da afirmação central de novidade. Uma afirmação de ausência exige método.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«pesquisei e não encontrei». Sem estratégia declarada, é uma afirmação de fé.</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Fiz pesquisa na PubMed, na Scopus e no Google Académico com combinações de «knowledge attitudes practices», «eye health», «blindness», «Mozambique», «Nampula» e «Monapo», em inglês e em português, sem limite de data, e consultei a produção da própria Universidade Lúrio. Encontrei estudos de prevalência e de barreiras em Nampula, mas nenhum inquérito CAP em Monapo. Reconheço que devia ter documentado esta estratégia de pesquisa no protocolo, com as bases, os termos e as datas de consulta, e vou acrescentá-la.</w:t>
      </w:r>
    </w:p>
    <w:p>
      <w:pPr>
        <w:spacing w:line="276" w:lineRule="auto" w:before="180" w:after="60"/>
        <w:jc w:val="both"/>
      </w:pPr>
      <w:r>
        <w:rPr>
          <w:rFonts w:ascii="Times New Roman" w:hAnsi="Times New Roman" w:cs="Times New Roman" w:eastAsia="Times New Roman"/>
          <w:b/>
          <w:i w:val="0"/>
          <w:color w:val="1F3B57"/>
          <w:sz w:val="20"/>
        </w:rPr>
        <w:t xml:space="preserve">P8. </w:t>
      </w:r>
      <w:r>
        <w:rPr>
          <w:rFonts w:ascii="Times New Roman" w:hAnsi="Times New Roman" w:cs="Times New Roman" w:eastAsia="Times New Roman"/>
          <w:b/>
          <w:i w:val="0"/>
          <w:sz w:val="20"/>
        </w:rPr>
        <w:t>Define o problema como a ausência de dados. A ausência de dados é um problema de investigação ou um problema de saúde?</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Distingue o problema de saúde (cegueira evitável) do problema de conhecimento (não sabemos porquê). Muitos protocolos confundem os dois.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Confundir os dois níveis e responder de forma circular.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São dois níveis distintos e o protocolo articula-os. O problema de saúde é a cegueira evitável numa comunidade com acesso limitado a serviços — 4,5 % de prevalência nos maiores de 50 anos na província e apenas quatro oftalmologistas para toda ela. O problema de investigação é que não sabemos quais são os determinantes comportamentais desse problema de saúde nesta população, o que impede o desenho de intervenções dirigidas. O primeiro justifica a relevância; o segundo justifica o estudo.</w:t>
      </w:r>
    </w:p>
    <w:p>
      <w:pPr>
        <w:spacing w:line="276" w:lineRule="auto" w:before="180" w:after="60"/>
        <w:jc w:val="both"/>
      </w:pPr>
      <w:r>
        <w:rPr>
          <w:rFonts w:ascii="Times New Roman" w:hAnsi="Times New Roman" w:cs="Times New Roman" w:eastAsia="Times New Roman"/>
          <w:b/>
          <w:i w:val="0"/>
          <w:color w:val="1F3B57"/>
          <w:sz w:val="20"/>
        </w:rPr>
        <w:t xml:space="preserve">P9. </w:t>
      </w:r>
      <w:r>
        <w:rPr>
          <w:rFonts w:ascii="Times New Roman" w:hAnsi="Times New Roman" w:cs="Times New Roman" w:eastAsia="Times New Roman"/>
          <w:b/>
          <w:i w:val="0"/>
          <w:sz w:val="20"/>
        </w:rPr>
        <w:t>Delimita o estudo às causas prevalentes no contexto local: catarata, tracoma, erros refractivos, glaucoma e retinopatia diabética. O seu questionário cobre as cinco de forma equilibrada?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 se a delimitação declarada corresponde ao instrumento. É uma verificação de coerência simples e reveladora.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que sim sem contar os itens. Não cobre.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de forma equilibrada, e é uma observação justa. A catarata tem um item próprio, o tracoma um, os erros refractivos um e a retinopatia diabética um; o glaucoma aparece apenas na lista do item 8 e não tem item específico, apesar de ser a segunda causa de cegueira na África subsariana, com 14 %. Vou acrescentar um item sobre o glaucoma — em particular sobre o seu carácter assintomático inicial, que é a lacuna de conhecimento clinicamente mais perigosa — e equilibrar a cobertura das cinco causas na versão revista.</w:t>
      </w:r>
    </w:p>
    <w:p>
      <w:pPr>
        <w:spacing w:line="276" w:lineRule="auto" w:before="280" w:after="120"/>
        <w:jc w:val="left"/>
      </w:pPr>
      <w:r>
        <w:rPr>
          <w:rFonts w:ascii="Times New Roman" w:hAnsi="Times New Roman" w:cs="Times New Roman" w:eastAsia="Times New Roman"/>
          <w:b/>
          <w:i w:val="0"/>
          <w:color w:val="1F3B57"/>
          <w:sz w:val="26"/>
        </w:rPr>
        <w:t>Bloco 3. Objectivos e hipóteses</w:t>
      </w:r>
    </w:p>
    <w:p>
      <w:pPr>
        <w:spacing w:line="276" w:lineRule="auto" w:before="180" w:after="60"/>
        <w:jc w:val="both"/>
      </w:pPr>
      <w:r>
        <w:rPr>
          <w:rFonts w:ascii="Times New Roman" w:hAnsi="Times New Roman" w:cs="Times New Roman" w:eastAsia="Times New Roman"/>
          <w:b/>
          <w:i w:val="0"/>
          <w:color w:val="1F3B57"/>
          <w:sz w:val="20"/>
        </w:rPr>
        <w:t xml:space="preserve">P10. </w:t>
      </w:r>
      <w:r>
        <w:rPr>
          <w:rFonts w:ascii="Times New Roman" w:hAnsi="Times New Roman" w:cs="Times New Roman" w:eastAsia="Times New Roman"/>
          <w:b/>
          <w:i w:val="0"/>
          <w:sz w:val="20"/>
        </w:rPr>
        <w:t>As suas hipóteses falam da associação entre o nível de conhecimento e os factores sociodemográficos. O seu objectivo específico 5 e o seu plano de análise falam das práticas. Qual é o desfecho do estudo?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É a incoerência mais visível do protocolo e a pergunta mais provável de toda a arguição.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Tentar argumentar que conhecimento e práticas são a mesma coisa, ou que a hipótese cobre implicitamente ambos. Não cobre.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razão, e é uma incoerência que assumo. O desfecho principal do modelo analítico são as práticas de prevenção, como consta do objectivo específico 5 e da secção 7.9. As hipóteses da secção 4 ficaram redigidas sobre o conhecimento e não acompanham o plano de análise. Vou reformulá-las em dois pares: primeiro, associação entre escolaridade e outros factores sociodemográficos e as práticas adequadas; segundo, associação entre o nível de conhecimento e as práticas adequadas — que é o eixo do modelo CAP e que hoje não tem hipótese nenhuma no protocolo, apesar de ser a associação mais sustentada pela literatura que revi.</w:t>
      </w:r>
    </w:p>
    <w:p>
      <w:pPr>
        <w:spacing w:line="276" w:lineRule="auto" w:before="180" w:after="60"/>
        <w:jc w:val="both"/>
      </w:pPr>
      <w:r>
        <w:rPr>
          <w:rFonts w:ascii="Times New Roman" w:hAnsi="Times New Roman" w:cs="Times New Roman" w:eastAsia="Times New Roman"/>
          <w:b/>
          <w:i w:val="0"/>
          <w:color w:val="1F3B57"/>
          <w:sz w:val="20"/>
        </w:rPr>
        <w:t xml:space="preserve">P11. </w:t>
      </w:r>
      <w:r>
        <w:rPr>
          <w:rFonts w:ascii="Times New Roman" w:hAnsi="Times New Roman" w:cs="Times New Roman" w:eastAsia="Times New Roman"/>
          <w:b/>
          <w:i w:val="0"/>
          <w:sz w:val="20"/>
        </w:rPr>
        <w:t>Porque não formulou uma hipótese sobre a relação entre conhecimento e práticas, que é o próprio fundamento de um estudo CAP?</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compreende o modelo teórico que escolheu, ou se aplicou a sigla CAP sem o modelo por trás.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essa relação é «óbvia». Se é óbvia, deve ser testada e quantificada.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Foi uma omissão e é a mais importante do protocolo em termos conceptuais. O modelo CAP pressupõe uma cadeia — o conhecimento condiciona as atitudes, que condicionam as práticas — e a literatura que revi quantifica-a: Du e colaboradores encontraram um OR de 4,92 entre bom conhecimento e realização de cirurgia de catarata na China rural, e Yirdaw e Tegegne um AOR de 4,87 entre conhecimento e boas práticas de prevenção do tracoma na Etiópia. Testar essa associação em Monapo é precisamente o que dá valor operacional ao estudo, porque é o que justifica investir em educação para a saúde. Vou acrescentá-la como hipótese e como objectivo específico.</w:t>
      </w:r>
    </w:p>
    <w:p>
      <w:pPr>
        <w:spacing w:line="276" w:lineRule="auto" w:before="180" w:after="60"/>
        <w:jc w:val="both"/>
      </w:pPr>
      <w:r>
        <w:rPr>
          <w:rFonts w:ascii="Times New Roman" w:hAnsi="Times New Roman" w:cs="Times New Roman" w:eastAsia="Times New Roman"/>
          <w:b/>
          <w:i w:val="0"/>
          <w:color w:val="1F3B57"/>
          <w:sz w:val="20"/>
        </w:rPr>
        <w:t xml:space="preserve">P12. </w:t>
      </w:r>
      <w:r>
        <w:rPr>
          <w:rFonts w:ascii="Times New Roman" w:hAnsi="Times New Roman" w:cs="Times New Roman" w:eastAsia="Times New Roman"/>
          <w:b/>
          <w:i w:val="0"/>
          <w:sz w:val="20"/>
        </w:rPr>
        <w:t>As suas hipóteses são não direccionais: «existe associação». Porque não especifica a direcção esperada?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domina a distinção entre hipótese exploratória e hipótese informada pela literatura.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é mais seguro não especificar. Com catorze estudos revistos, a ausência de direcção é falta de compromisso, não prudência.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Com a revisão que fiz, tenho base para hipóteses direccionais e devia tê-las formulado assim: espera-se que os participantes com escolaridade secundária ou superior e os que já participaram em campanhas de saúde ocular apresentem maior probabilidade de práticas adequadas, e que os participantes com bom conhecimento apresentem igualmente maior probabilidade de práticas adequadas. Os testes continuam a ser bilaterais, por convenção, mas a hipótese passa a comprometer-se com uma expectativa, o que é mais honesto e mais informativo.</w:t>
      </w:r>
    </w:p>
    <w:p>
      <w:pPr>
        <w:spacing w:line="276" w:lineRule="auto" w:before="180" w:after="60"/>
        <w:jc w:val="both"/>
      </w:pPr>
      <w:r>
        <w:rPr>
          <w:rFonts w:ascii="Times New Roman" w:hAnsi="Times New Roman" w:cs="Times New Roman" w:eastAsia="Times New Roman"/>
          <w:b/>
          <w:i w:val="0"/>
          <w:color w:val="1F3B57"/>
          <w:sz w:val="20"/>
        </w:rPr>
        <w:t xml:space="preserve">P13. </w:t>
      </w:r>
      <w:r>
        <w:rPr>
          <w:rFonts w:ascii="Times New Roman" w:hAnsi="Times New Roman" w:cs="Times New Roman" w:eastAsia="Times New Roman"/>
          <w:b/>
          <w:i w:val="0"/>
          <w:sz w:val="20"/>
        </w:rPr>
        <w:t>O objectivo geral é «avaliar o conhecimento, as atitudes e as práticas». O verbo «avaliar» é mensurável?</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 o rigor na formulação dos objectivos — uma verificação formal frequente em júris de protocolo.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o verbo sem operacionalizar.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«Avaliar» é aceitável desde que a operacionalização esteja definida, e no meu caso está: cada dimensão é pontuada e classificada pelos pontos de corte de Bloom, em bom, moderado e fraco. Reconheço que a formulação ganharia em precisão se fosse «determinar o nível de conhecimento, de atitudes e de práticas», que explicita a medição. Aceito a alteração.</w:t>
      </w:r>
    </w:p>
    <w:p>
      <w:pPr>
        <w:spacing w:line="276" w:lineRule="auto" w:before="180" w:after="60"/>
        <w:jc w:val="both"/>
      </w:pPr>
      <w:r>
        <w:rPr>
          <w:rFonts w:ascii="Times New Roman" w:hAnsi="Times New Roman" w:cs="Times New Roman" w:eastAsia="Times New Roman"/>
          <w:b/>
          <w:i w:val="0"/>
          <w:color w:val="1F3B57"/>
          <w:sz w:val="20"/>
        </w:rPr>
        <w:t xml:space="preserve">P14. </w:t>
      </w:r>
      <w:r>
        <w:rPr>
          <w:rFonts w:ascii="Times New Roman" w:hAnsi="Times New Roman" w:cs="Times New Roman" w:eastAsia="Times New Roman"/>
          <w:b/>
          <w:i w:val="0"/>
          <w:sz w:val="20"/>
        </w:rPr>
        <w:t>Tem cinco objectivos específicos. O primeiro é caracterizar o perfil sociodemográfico. Isso é um objectivo ou é uma etapa de qualquer estudo?</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sabe distinguir objectivo de procedimento. Alguns júris são muito sensíveis a este ponto.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Insistir que é um objectivo autónomo.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questão legítima. A caracterização sociodemográfica é, em rigor, um procedimento descritivo comum a qualquer estudo, e não um objectivo autónomo. Mantenho-a como objectivo específico porque as variáveis sociodemográficas são também as variáveis independentes do modelo analítico, o que lhes dá um estatuto que ultrapassa a mera descrição da amostra. Mas aceito reformulá-lo, integrando-o no objectivo 5, se o júri o preferir.</w:t>
      </w:r>
    </w:p>
    <w:p>
      <w:pPr>
        <w:spacing w:line="276" w:lineRule="auto" w:before="280" w:after="120"/>
        <w:jc w:val="left"/>
      </w:pPr>
      <w:r>
        <w:rPr>
          <w:rFonts w:ascii="Times New Roman" w:hAnsi="Times New Roman" w:cs="Times New Roman" w:eastAsia="Times New Roman"/>
          <w:b/>
          <w:i w:val="0"/>
          <w:color w:val="1F3B57"/>
          <w:sz w:val="26"/>
        </w:rPr>
        <w:t>Bloco 4. Enquadramento teórico e referências</w:t>
      </w:r>
    </w:p>
    <w:p>
      <w:pPr>
        <w:spacing w:line="276" w:lineRule="auto" w:before="180" w:after="60"/>
        <w:jc w:val="both"/>
      </w:pPr>
      <w:r>
        <w:rPr>
          <w:rFonts w:ascii="Times New Roman" w:hAnsi="Times New Roman" w:cs="Times New Roman" w:eastAsia="Times New Roman"/>
          <w:b/>
          <w:i w:val="0"/>
          <w:color w:val="1F3B57"/>
          <w:sz w:val="20"/>
        </w:rPr>
        <w:t xml:space="preserve">P15. </w:t>
      </w:r>
      <w:r>
        <w:rPr>
          <w:rFonts w:ascii="Times New Roman" w:hAnsi="Times New Roman" w:cs="Times New Roman" w:eastAsia="Times New Roman"/>
          <w:b/>
          <w:i w:val="0"/>
          <w:sz w:val="20"/>
        </w:rPr>
        <w:t>Qual é o modelo teórico que sustenta o desenho CAP? Conhecimento gera atitudes que geram práticas — é assim tão linear?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profundidade teórica. A crítica ao modelo KAP é abundante na literatura e um júri informado conhece-a.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a linearidade do modelo. É precisamente o que a literatura crítica desmonta.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é linear, e essa é a principal crítica ao modelo, discutida por Vandamme na revisão que cito na referência 39. Existe uma lacuna documentada entre conhecimento e prática: saber não basta quando existem barreiras estruturais como o custo, a distância ou a norma social. Precisamente por isso o meu instrumento inclui, na secção de práticas, um módulo de barreiras adaptado do RAAB7 — para captar os determinantes que o modelo CAP puro não explica. O estudo mede as três dimensões e as barreiras, e permite verificar se, nesta população, o conhecimento se traduz ou não em prática.</w:t>
      </w:r>
    </w:p>
    <w:p>
      <w:pPr>
        <w:spacing w:line="276" w:lineRule="auto" w:before="180" w:after="60"/>
        <w:jc w:val="both"/>
      </w:pPr>
      <w:r>
        <w:rPr>
          <w:rFonts w:ascii="Times New Roman" w:hAnsi="Times New Roman" w:cs="Times New Roman" w:eastAsia="Times New Roman"/>
          <w:b/>
          <w:i w:val="0"/>
          <w:color w:val="1F3B57"/>
          <w:sz w:val="20"/>
        </w:rPr>
        <w:t xml:space="preserve">P16. </w:t>
      </w:r>
      <w:r>
        <w:rPr>
          <w:rFonts w:ascii="Times New Roman" w:hAnsi="Times New Roman" w:cs="Times New Roman" w:eastAsia="Times New Roman"/>
          <w:b/>
          <w:i w:val="0"/>
          <w:sz w:val="20"/>
        </w:rPr>
        <w:t>Cita 57 referências. Quantas leu integralmente e quantas leu apenas o resumo?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desconfortável mas frequente. Testa honestidade e conhecimento efectivo das fontes-chave.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leu todas na íntegra. É improvável e, se o júri escolher três ao acaso para perguntar detalhes, fica exposto.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Li integralmente as que sustentam o desenho e o instrumento: o Relatório Mundial sobre a Visão, os dois artigos do GBD 2019, o RAAB de Nampula de Jolley, o inventário de recursos humanos de Sengo, os dois estudos moçambicanos de barreiras, o protocolo RAAB7, o PEPC-KAPQ, o Glaucoma Knowledge Level Questionnaire e a lista ChecKAP. Das restantes, sobretudo as do Quadro 1, li o resumo, a metodologia e os resultados, que é o necessário para as tabelar com rigor. Não afirmo ter lido as 57 na íntegra.</w:t>
      </w:r>
    </w:p>
    <w:p>
      <w:pPr>
        <w:spacing w:line="276" w:lineRule="auto" w:before="180" w:after="60"/>
        <w:jc w:val="both"/>
      </w:pPr>
      <w:r>
        <w:rPr>
          <w:rFonts w:ascii="Times New Roman" w:hAnsi="Times New Roman" w:cs="Times New Roman" w:eastAsia="Times New Roman"/>
          <w:b/>
          <w:i w:val="0"/>
          <w:color w:val="1F3B57"/>
          <w:sz w:val="20"/>
        </w:rPr>
        <w:t xml:space="preserve">P17. </w:t>
      </w:r>
      <w:r>
        <w:rPr>
          <w:rFonts w:ascii="Times New Roman" w:hAnsi="Times New Roman" w:cs="Times New Roman" w:eastAsia="Times New Roman"/>
          <w:b/>
          <w:i w:val="0"/>
          <w:sz w:val="20"/>
        </w:rPr>
        <w:t>A referência 53, de Andrade, sobre dimensão da amostra, consta da sua lista bibliográfica. Onde é que ela é citada no texto?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Verificação de integridade. É a prova documental de que a secção do cálculo amostral ficou truncada — e um júri atento detecta-a.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Tentar localizar a citação. Não existe: a referência 53 não é citada uma única vez no corpo.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é citada. É uma consequência directa da secção 7.4 ter ficado incompleta: a referência foi incluída para sustentar a justificação dos parâmetros do cálculo amostral, e quando a secção ficou por concluir a citação desapareceu do texto mas ficou na lista. Vou completar a secção 7.4 e a referência 53 voltará ao seu lugar, a sustentar a escolha de p e da margem de erro.</w:t>
      </w:r>
    </w:p>
    <w:p>
      <w:pPr>
        <w:spacing w:line="276" w:lineRule="auto" w:before="180" w:after="60"/>
        <w:jc w:val="both"/>
      </w:pPr>
      <w:r>
        <w:rPr>
          <w:rFonts w:ascii="Times New Roman" w:hAnsi="Times New Roman" w:cs="Times New Roman" w:eastAsia="Times New Roman"/>
          <w:b/>
          <w:i w:val="0"/>
          <w:color w:val="1F3B57"/>
          <w:sz w:val="20"/>
        </w:rPr>
        <w:t xml:space="preserve">P18. </w:t>
      </w:r>
      <w:r>
        <w:rPr>
          <w:rFonts w:ascii="Times New Roman" w:hAnsi="Times New Roman" w:cs="Times New Roman" w:eastAsia="Times New Roman"/>
          <w:b/>
          <w:i w:val="0"/>
          <w:sz w:val="20"/>
        </w:rPr>
        <w:t>Na secção 7.7 cita as referências 19, 55 e 56 para sustentar a avaliação da fiabilidade. A referência 56 é um recurso de educação em saúde do National Eye Institute. Como sustenta ela um coeficiente de fiabilidade?</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Verificação de integridade das citações. Testa se cita o que leu ou se agrupa referências por conveniência.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Improvisar uma justificação. A referência está claramente desalinhada com o texto que acompanha.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razão, é uma citação mal colocada. A referência 56 é um recurso de conteúdo educativo, que usei na construção dos itens de conhecimento, e não uma fonte metodológica sobre fiabilidade. As fontes correctas para os critérios de KR-20 e alfa de Cronbach são as referências 19 e 55. Vou desdobrar a citação e colocar a 56 onde efectivamente pertence.</w:t>
      </w:r>
    </w:p>
    <w:p>
      <w:pPr>
        <w:spacing w:line="276" w:lineRule="auto" w:before="180" w:after="60"/>
        <w:jc w:val="both"/>
      </w:pPr>
      <w:r>
        <w:rPr>
          <w:rFonts w:ascii="Times New Roman" w:hAnsi="Times New Roman" w:cs="Times New Roman" w:eastAsia="Times New Roman"/>
          <w:b/>
          <w:i w:val="0"/>
          <w:color w:val="1F3B57"/>
          <w:sz w:val="20"/>
        </w:rPr>
        <w:t xml:space="preserve">P19. </w:t>
      </w:r>
      <w:r>
        <w:rPr>
          <w:rFonts w:ascii="Times New Roman" w:hAnsi="Times New Roman" w:cs="Times New Roman" w:eastAsia="Times New Roman"/>
          <w:b/>
          <w:i w:val="0"/>
          <w:sz w:val="20"/>
        </w:rPr>
        <w:t>A sua lista de abreviaturas tem siglas como CVI, eCSC, IPEC, MISAU, WHA e TCLE que nunca aparecem no corpo do texto. Porquê?</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Sinal de descuido editorial e, potencialmente, de versões anteriores do documento não limpas. É uma pergunta de forma, mas mina a confiança.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reparado. Repare antes que o júri repare.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São resquícios de versões anteriores do protocolo que não foram limpos. Contei dezasseis siglas listadas e nunca usadas. Vou eliminar as que não são usadas e manter apenas as que aparecem efectivamente no texto. É um erro de revisão final, sem consequência científica, mas que assumo.</w:t>
      </w:r>
    </w:p>
    <w:p>
      <w:pPr>
        <w:spacing w:line="276" w:lineRule="auto" w:before="180" w:after="60"/>
        <w:jc w:val="both"/>
      </w:pPr>
      <w:r>
        <w:rPr>
          <w:rFonts w:ascii="Times New Roman" w:hAnsi="Times New Roman" w:cs="Times New Roman" w:eastAsia="Times New Roman"/>
          <w:b/>
          <w:i w:val="0"/>
          <w:color w:val="1F3B57"/>
          <w:sz w:val="20"/>
        </w:rPr>
        <w:t xml:space="preserve">P20. </w:t>
      </w:r>
      <w:r>
        <w:rPr>
          <w:rFonts w:ascii="Times New Roman" w:hAnsi="Times New Roman" w:cs="Times New Roman" w:eastAsia="Times New Roman"/>
          <w:b/>
          <w:i w:val="0"/>
          <w:sz w:val="20"/>
        </w:rPr>
        <w:t>O Quadro 1 tem catorze estudos e onze são de África Oriental, sobretudo da Etiópia. Isso não enviesa a sua expectativa de resultados?</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consciência da representatividade da base de evidência que usou para desenhar o estudo.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Ignorar a assimetria geográfica.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concentração real e reconheço-a. Deve-se a que a Etiópia tem uma tradição consolidada de estudos CAP comunitários em saúde ocular, com programas de investigação nas universidades regionais, o que não existe na África Austral lusófona. Isso tem duas consequências que devo declarar: primeira, os valores de referência que uso — como os 51 % a 55 % de bom conhecimento — vêm de contextos com sistemas de saúde e níveis de escolaridade distintos dos de Monapo; segunda, é precisamente essa assimetria que dá valor ao meu estudo, por produzir evidência num contexto sub-representado. Assumi p = 0,50 no cálculo amostral justamente para não depender dessas estimativas externas.</w:t>
      </w:r>
    </w:p>
    <w:p>
      <w:pPr>
        <w:spacing w:line="276" w:lineRule="auto" w:before="280" w:after="120"/>
        <w:jc w:val="left"/>
      </w:pPr>
      <w:r>
        <w:rPr>
          <w:rFonts w:ascii="Times New Roman" w:hAnsi="Times New Roman" w:cs="Times New Roman" w:eastAsia="Times New Roman"/>
          <w:b/>
          <w:i w:val="0"/>
          <w:color w:val="1F3B57"/>
          <w:sz w:val="26"/>
        </w:rPr>
        <w:t>Bloco 5. Desenho do estudo</w:t>
      </w:r>
    </w:p>
    <w:p>
      <w:pPr>
        <w:spacing w:line="276" w:lineRule="auto" w:before="180" w:after="60"/>
        <w:jc w:val="both"/>
      </w:pPr>
      <w:r>
        <w:rPr>
          <w:rFonts w:ascii="Times New Roman" w:hAnsi="Times New Roman" w:cs="Times New Roman" w:eastAsia="Times New Roman"/>
          <w:b/>
          <w:i w:val="0"/>
          <w:color w:val="1F3B57"/>
          <w:sz w:val="20"/>
        </w:rPr>
        <w:t xml:space="preserve">P21. </w:t>
      </w:r>
      <w:r>
        <w:rPr>
          <w:rFonts w:ascii="Times New Roman" w:hAnsi="Times New Roman" w:cs="Times New Roman" w:eastAsia="Times New Roman"/>
          <w:b/>
          <w:i w:val="0"/>
          <w:sz w:val="20"/>
        </w:rPr>
        <w:t>Porquê um estudo transversal e não um estudo de intervenção, se o seu objectivo último é melhorar a educação para a saúde?</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o desenho serve a pergunta ou se foi escolhido por comodidade.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um estudo de intervenção seria demasiado caro. É verdade, mas é um argumento logístico, não científico.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Porque não se desenha uma intervenção sem saber o que corrigir. A evidência mostra que as intervenções educativas em saúde ocular funcionam, mas funcionam quando são dirigidas às lacunas reais da população. Este estudo é o diagnóstico que precede a intervenção: identifica quais são as lacunas de conhecimento, quais as atitudes desfavoráveis e quais as barreiras concretas. Um estudo de intervenção sem esse diagnóstico prévio estaria a tratar às cegas. O ensaio de intervenção com avaliação pré e pós é o passo seguinte, e é o que proponho como continuação natural.</w:t>
      </w:r>
    </w:p>
    <w:p>
      <w:pPr>
        <w:spacing w:line="276" w:lineRule="auto" w:before="180" w:after="60"/>
        <w:jc w:val="both"/>
      </w:pPr>
      <w:r>
        <w:rPr>
          <w:rFonts w:ascii="Times New Roman" w:hAnsi="Times New Roman" w:cs="Times New Roman" w:eastAsia="Times New Roman"/>
          <w:b/>
          <w:i w:val="0"/>
          <w:color w:val="1F3B57"/>
          <w:sz w:val="20"/>
        </w:rPr>
        <w:t xml:space="preserve">P22. </w:t>
      </w:r>
      <w:r>
        <w:rPr>
          <w:rFonts w:ascii="Times New Roman" w:hAnsi="Times New Roman" w:cs="Times New Roman" w:eastAsia="Times New Roman"/>
          <w:b/>
          <w:i w:val="0"/>
          <w:sz w:val="20"/>
        </w:rPr>
        <w:t>O seu desenho não tem grupo de comparação. Como conclui alguma coisa sem termo de comparação?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 se compreende quando um grupo de controlo é exigível e quando não é.</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Ficar sem resposta ou inventar um grupo de controlo. Um inquérito CAP não precisa de grupo de controlo externo.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Um inquérito CAP é um estudo de prevalência de características, não um estudo comparativo entre intervenções, e por isso não requer grupo de controlo externo. A comparação existe, mas é interna: comparam-se subgrupos definidos pelas variáveis independentes — escolarizados contra não escolarizados, homens contra mulheres, quem participou em campanhas contra quem não participou. É essa comparação interna que o objectivo específico 5 e a regressão logística exploram. Existe ainda comparação externa com a literatura, através dos pontos de corte de Bloom, que são os mesmos usados nos estudos do Quadro 1.</w:t>
      </w:r>
    </w:p>
    <w:p>
      <w:pPr>
        <w:spacing w:line="276" w:lineRule="auto" w:before="180" w:after="60"/>
        <w:jc w:val="both"/>
      </w:pPr>
      <w:r>
        <w:rPr>
          <w:rFonts w:ascii="Times New Roman" w:hAnsi="Times New Roman" w:cs="Times New Roman" w:eastAsia="Times New Roman"/>
          <w:b/>
          <w:i w:val="0"/>
          <w:color w:val="1F3B57"/>
          <w:sz w:val="20"/>
        </w:rPr>
        <w:t xml:space="preserve">P23. </w:t>
      </w:r>
      <w:r>
        <w:rPr>
          <w:rFonts w:ascii="Times New Roman" w:hAnsi="Times New Roman" w:cs="Times New Roman" w:eastAsia="Times New Roman"/>
          <w:b/>
          <w:i w:val="0"/>
          <w:sz w:val="20"/>
        </w:rPr>
        <w:t>Um estudo transversal mede exposição e desfecho no mesmo momento. Como sabe que o conhecimento precede as práticas e não o contrário?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Causalidade reversa. É a limitação clássica do desenho e o júri quer ouvi-la nomeada.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Afirmar que o conhecimento «obviamente» vem primeiro.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sei, e não posso saber com este desenho. É plausível que a relação seja bidireccional: quem tem bom conhecimento procura mais os serviços, mas quem procura os serviços também adquire conhecimento na consulta. Por isso as minhas conclusões falarão de associação e nunca de causalidade, e a limitação ficará explicitamente declarada. Note-se que uma das minhas variáveis independentes — a participação prévia em campanha de saúde ocular — é precisamente um marcador dessa exposição informativa anterior, o que permite pelo menos discutir o sentido da relação.</w:t>
      </w:r>
    </w:p>
    <w:p>
      <w:pPr>
        <w:spacing w:line="276" w:lineRule="auto" w:before="180" w:after="60"/>
        <w:jc w:val="both"/>
      </w:pPr>
      <w:r>
        <w:rPr>
          <w:rFonts w:ascii="Times New Roman" w:hAnsi="Times New Roman" w:cs="Times New Roman" w:eastAsia="Times New Roman"/>
          <w:b/>
          <w:i w:val="0"/>
          <w:color w:val="1F3B57"/>
          <w:sz w:val="20"/>
        </w:rPr>
        <w:t xml:space="preserve">P24. </w:t>
      </w:r>
      <w:r>
        <w:rPr>
          <w:rFonts w:ascii="Times New Roman" w:hAnsi="Times New Roman" w:cs="Times New Roman" w:eastAsia="Times New Roman"/>
          <w:b/>
          <w:i w:val="0"/>
          <w:sz w:val="20"/>
        </w:rPr>
        <w:t>Descreve o estudo como «de natureza básica». Um inquérito destinado a orientar intervenções de saúde pública é investigação básica?</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Pequena imprecisão de classificação, mas o tipo de detalhe que um oponente atento usa para testar rigor conceptual.</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a classificação. É simplesmente errada.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classificação incorrecta e aceito a correcção. Trata-se de investigação aplicada: a finalidade declarada é fundamentar intervenções de educação para a saúde e apoiar o planeamento distrital, o que é a definição de investigação aplicada. Vou corrigir a secção 7.1.</w:t>
      </w:r>
    </w:p>
    <w:p>
      <w:pPr>
        <w:spacing w:line="276" w:lineRule="auto" w:before="180" w:after="60"/>
        <w:jc w:val="both"/>
      </w:pPr>
      <w:r>
        <w:rPr>
          <w:rFonts w:ascii="Times New Roman" w:hAnsi="Times New Roman" w:cs="Times New Roman" w:eastAsia="Times New Roman"/>
          <w:b/>
          <w:i w:val="0"/>
          <w:color w:val="1F3B57"/>
          <w:sz w:val="20"/>
        </w:rPr>
        <w:t xml:space="preserve">P25. </w:t>
      </w:r>
      <w:r>
        <w:rPr>
          <w:rFonts w:ascii="Times New Roman" w:hAnsi="Times New Roman" w:cs="Times New Roman" w:eastAsia="Times New Roman"/>
          <w:b/>
          <w:i w:val="0"/>
          <w:sz w:val="20"/>
        </w:rPr>
        <w:t>Declara seguir a lista ChecKAP. Diga-me três itens dessa lista que o seu protocolo cumpre e um que não cumpre.</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Teste directo: ou leu a lista que declarou seguir, ou citou-a de ouvido. É uma das perguntas mais reveladoras possíveis.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lido a ChecKAP. Leia-a antes da defesa — é um artigo de quatro páginas.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Cumpre: a descrição explícita do desenho e do período do estudo; a descrição da origem dos itens do questionário, com identificação das três fontes validadas de que foram adaptados; e a declaração do método de pontuação por pontos de corte de Bloom. Não cumpre, neste momento, dois itens centrais: a justificação completa da dimensão da amostra, que ficou por concluir, e a descrição do processo de validação transcultural do instrumento, que está apenas enunciado. São os dois pontos que vou completar.</w:t>
      </w:r>
    </w:p>
    <w:p>
      <w:pPr>
        <w:spacing w:line="276" w:lineRule="auto" w:before="280" w:after="120"/>
        <w:jc w:val="left"/>
      </w:pPr>
      <w:r>
        <w:rPr>
          <w:rFonts w:ascii="Times New Roman" w:hAnsi="Times New Roman" w:cs="Times New Roman" w:eastAsia="Times New Roman"/>
          <w:b/>
          <w:i w:val="0"/>
          <w:color w:val="1F3B57"/>
          <w:sz w:val="26"/>
        </w:rPr>
        <w:t>Bloco 6. População, amostragem e cálculo do tamanho da amostra</w:t>
      </w:r>
    </w:p>
    <w:p>
      <w:pPr>
        <w:spacing w:line="276" w:lineRule="auto" w:before="180" w:after="60"/>
        <w:jc w:val="both"/>
      </w:pPr>
      <w:r>
        <w:rPr>
          <w:rFonts w:ascii="Times New Roman" w:hAnsi="Times New Roman" w:cs="Times New Roman" w:eastAsia="Times New Roman"/>
          <w:b/>
          <w:i w:val="0"/>
          <w:color w:val="1F3B57"/>
          <w:sz w:val="20"/>
        </w:rPr>
        <w:t xml:space="preserve">P26. </w:t>
      </w:r>
      <w:r>
        <w:rPr>
          <w:rFonts w:ascii="Times New Roman" w:hAnsi="Times New Roman" w:cs="Times New Roman" w:eastAsia="Times New Roman"/>
          <w:b/>
          <w:i w:val="0"/>
          <w:sz w:val="20"/>
        </w:rPr>
        <w:t>Qual é o tamanho da sua amostra?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 pergunta mais previsível da defesa e a que o protocolo, tal como está, não responde. A secção 7.4 apresenta a fórmula e termina.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Hesitar, ou dizer um número que não sabe justificar. Se disser 385, terá de explicar porque ignorou o efeito de desenho.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650 participantes. Deriva assim: n₀ = Z² × p × (1 − p) / d², com Z = 1,96 para 95 % de confiança, p = 0,50 por ausência de estimativa local e por maximizar a variância, e d = 0,05 de margem de erro. Dá 384,16, que arredondo para 385. Como a amostragem é por conglomerados, multiplico pelo efeito de desenho de 1,5, obtendo 578. Ajusto para 10 % de não-resposta dividindo por 0,90, obtendo 643, que arredondo operacionalmente para 650, distribuídos por 20 conglomerados de 33 participantes. Reconheço que esta derivação não ficou escrita na versão entregue e que a secção 7.4 termina na fórmula — é a primeira correcção que vou fazer.</w:t>
      </w:r>
    </w:p>
    <w:p>
      <w:pPr>
        <w:spacing w:line="276" w:lineRule="auto" w:before="180" w:after="60"/>
        <w:jc w:val="both"/>
      </w:pPr>
      <w:r>
        <w:rPr>
          <w:rFonts w:ascii="Times New Roman" w:hAnsi="Times New Roman" w:cs="Times New Roman" w:eastAsia="Times New Roman"/>
          <w:b/>
          <w:i w:val="0"/>
          <w:color w:val="1F3B57"/>
          <w:sz w:val="20"/>
        </w:rPr>
        <w:t xml:space="preserve">P27. </w:t>
      </w:r>
      <w:r>
        <w:rPr>
          <w:rFonts w:ascii="Times New Roman" w:hAnsi="Times New Roman" w:cs="Times New Roman" w:eastAsia="Times New Roman"/>
          <w:b/>
          <w:i w:val="0"/>
          <w:sz w:val="20"/>
        </w:rPr>
        <w:t>Escreva no quadro a fórmula que usou e explique de onde vem.</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Teste directo de compreensão, não de memorização. Um júri pede isto quando desconfia que o número foi copiado.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Escrever a fórmula sem saber de onde vem. A pergunta seguinte será sempre «e porquê?».</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n₀ = Z² × p × (1 − p) / d². Deriva do intervalo de confiança de uma proporção. A semi-amplitude desse intervalo é Z × √[p(1 − p)/n]. Impõe-se que essa semi-amplitude seja igual à margem de erro pretendida, d, e resolve-se em ordem a n: d² = Z² p(1 − p)/n, logo n = Z² p(1 − p)/d². Isto é, o n é o número de observações necessário para que o intervalo de confiança a 95 % não seja mais largo do que ±5 pontos percentuais.</w:t>
      </w:r>
    </w:p>
    <w:p>
      <w:pPr>
        <w:spacing w:line="276" w:lineRule="auto" w:before="180" w:after="60"/>
        <w:jc w:val="both"/>
      </w:pPr>
      <w:r>
        <w:rPr>
          <w:rFonts w:ascii="Times New Roman" w:hAnsi="Times New Roman" w:cs="Times New Roman" w:eastAsia="Times New Roman"/>
          <w:b/>
          <w:i w:val="0"/>
          <w:color w:val="1F3B57"/>
          <w:sz w:val="20"/>
        </w:rPr>
        <w:t xml:space="preserve">P28. </w:t>
      </w:r>
      <w:r>
        <w:rPr>
          <w:rFonts w:ascii="Times New Roman" w:hAnsi="Times New Roman" w:cs="Times New Roman" w:eastAsia="Times New Roman"/>
          <w:b/>
          <w:i w:val="0"/>
          <w:sz w:val="20"/>
        </w:rPr>
        <w:t>Porque escolheu p = 0,50 e não uma estimativa da literatura?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percebe o papel de p e se sabe justificar uma escolha conservadora.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0,50 é «o valor habitual». É o valor habitual por uma razão matemática que tem de saber enunciar.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Por duas razões. A primeira é matemática: a função p(1 − p) atinge o máximo em p = 0,50, pelo que este valor produz o maior n possível e garante que a amostra não fica subdimensionada, seja qual for a proporção real. A segunda é empírica: não existe estimativa local para Monapo, e os valores mais próximos disponíveis — 54,9 % em Arba Minch e 51 % no Tigray — são tão próximos de 0,50 que a diferença é irrelevante. Com p = 0,549 o n₀ seria 381 em vez de 385. A escolha é, portanto, simultaneamente conservadora e realista.</w:t>
      </w:r>
    </w:p>
    <w:p>
      <w:pPr>
        <w:spacing w:line="276" w:lineRule="auto" w:before="180" w:after="60"/>
        <w:jc w:val="both"/>
      </w:pPr>
      <w:r>
        <w:rPr>
          <w:rFonts w:ascii="Times New Roman" w:hAnsi="Times New Roman" w:cs="Times New Roman" w:eastAsia="Times New Roman"/>
          <w:b/>
          <w:i w:val="0"/>
          <w:color w:val="1F3B57"/>
          <w:sz w:val="20"/>
        </w:rPr>
        <w:t xml:space="preserve">P29. </w:t>
      </w:r>
      <w:r>
        <w:rPr>
          <w:rFonts w:ascii="Times New Roman" w:hAnsi="Times New Roman" w:cs="Times New Roman" w:eastAsia="Times New Roman"/>
          <w:b/>
          <w:i w:val="0"/>
          <w:sz w:val="20"/>
        </w:rPr>
        <w:t>O que é o efeito de desenho e porque teve de o aplicar?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Distingue quem compreende amostragem complexa de quem aplicou a fórmula de proporção única sem pensar no desenho. É o erro mais comum em protocolos com amostragem por conglomerados.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saber o que é. É o conceito técnico central deste protocolo.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efeito de desenho é a razão entre a variância obtida com o desenho amostral que uso e a variância que obteria com amostragem aleatória simples de igual dimensão. Aplica-se porque as pessoas do mesmo bairro ou aldeia partilham fontes de informação, acesso aos serviços e normas sociais — são mais parecidas entre si do que com pessoas de outro conglomerado. Cada entrevista adicional dentro do mesmo conglomerado traz, por isso, menos informação nova do que traria numa amostra aleatória simples. Calcula-se por DEFF = 1 + (m − 1) × CCI, em que m é o número de participantes por conglomerado e CCI o coeficiente de correlação intraclasse. Com 33 participantes por conglomerado e um CCI de 0,015, valor típico para variáveis de conhecimento e comportamento em saúde, obtém-se aproximadamente 1,5 — que é o valor habitualmente usado nos inquéritos RAAB.</w:t>
      </w:r>
    </w:p>
    <w:p>
      <w:pPr>
        <w:spacing w:line="276" w:lineRule="auto" w:before="180" w:after="60"/>
        <w:jc w:val="both"/>
      </w:pPr>
      <w:r>
        <w:rPr>
          <w:rFonts w:ascii="Times New Roman" w:hAnsi="Times New Roman" w:cs="Times New Roman" w:eastAsia="Times New Roman"/>
          <w:b/>
          <w:i w:val="0"/>
          <w:color w:val="1F3B57"/>
          <w:sz w:val="20"/>
        </w:rPr>
        <w:t xml:space="preserve">P30. </w:t>
      </w:r>
      <w:r>
        <w:rPr>
          <w:rFonts w:ascii="Times New Roman" w:hAnsi="Times New Roman" w:cs="Times New Roman" w:eastAsia="Times New Roman"/>
          <w:b/>
          <w:i w:val="0"/>
          <w:sz w:val="20"/>
        </w:rPr>
        <w:t>Aplicou correcção para população finita? Qual é a dimensão da população elegível na comunidade?</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diz que usa a fórmula «para populações grandes» mas nunca declara a dimensão da população. É uma afirmação por verificar.</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a população é grande sem saber quantas pessoas são.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assume população grande e por isso não aplica a correcção, mas reconheço que essa premissa ainda não está verificada, porque o posto administrativo e a localidade concretos só serão definidos com base nos dados do INE e dos serviços distritais. A regra é clara: se a população elegível exceder cerca de vinte vezes o n, a correcção é desprezável; se for da ordem dos 3.000 adultos, o n₀ de 385 desceria para 341, e teria de a aplicar. Vou definir o enquadramento amostral e a população elegível antes da submissão, e ajustar em conformidade.</w:t>
      </w:r>
    </w:p>
    <w:p>
      <w:pPr>
        <w:spacing w:line="276" w:lineRule="auto" w:before="180" w:after="60"/>
        <w:jc w:val="both"/>
      </w:pPr>
      <w:r>
        <w:rPr>
          <w:rFonts w:ascii="Times New Roman" w:hAnsi="Times New Roman" w:cs="Times New Roman" w:eastAsia="Times New Roman"/>
          <w:b/>
          <w:i w:val="0"/>
          <w:color w:val="1F3B57"/>
          <w:sz w:val="20"/>
        </w:rPr>
        <w:t xml:space="preserve">P31. </w:t>
      </w:r>
      <w:r>
        <w:rPr>
          <w:rFonts w:ascii="Times New Roman" w:hAnsi="Times New Roman" w:cs="Times New Roman" w:eastAsia="Times New Roman"/>
          <w:b/>
          <w:i w:val="0"/>
          <w:sz w:val="20"/>
        </w:rPr>
        <w:t>Como selecciona o adulto dentro do agregado familiar?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diz «um adulto elegível» e não diz como. É a maior porta de entrada para viés de selecção em todo o desenho.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«o que estiver disponível» ou «o chefe do agregado». A primeira gera viés de disponibilidade; a segunda enviesa sistematicamente para homens.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não o especifica e é uma lacuna que reconheço. Vou usar a grelha de Kish: lista-se por ordem de idade todos os adultos elegíveis do agregado, presentes ou ausentes, e a tabela determina qual é seleccionado, de forma reprodutível e independente da vontade do entrevistador. Se o seleccionado não estiver presente, faz-se até duas visitas de retorno antes de o considerar não respondente — nunca se substitui por quem está em casa, porque isso enviesaria a amostra para mulheres, idosos e pessoas sem ocupação remunerada.</w:t>
      </w:r>
    </w:p>
    <w:p>
      <w:pPr>
        <w:spacing w:line="276" w:lineRule="auto" w:before="180" w:after="60"/>
        <w:jc w:val="both"/>
      </w:pPr>
      <w:r>
        <w:rPr>
          <w:rFonts w:ascii="Times New Roman" w:hAnsi="Times New Roman" w:cs="Times New Roman" w:eastAsia="Times New Roman"/>
          <w:b/>
          <w:i w:val="0"/>
          <w:color w:val="1F3B57"/>
          <w:sz w:val="20"/>
        </w:rPr>
        <w:t xml:space="preserve">P32. </w:t>
      </w:r>
      <w:r>
        <w:rPr>
          <w:rFonts w:ascii="Times New Roman" w:hAnsi="Times New Roman" w:cs="Times New Roman" w:eastAsia="Times New Roman"/>
          <w:b/>
          <w:i w:val="0"/>
          <w:sz w:val="20"/>
        </w:rPr>
        <w:t>Seleccionar um adulto por agregado significa que uma pessoa de um agregado com um único adulto tem probabilidade de selecção quatro vezes superior à de uma pessoa num agregado com quatro adultos. Como corrige isso?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técnica avançada sobre probabilidades de selecção desiguais. Um oponente com formação em epidemiologia fá-la-á.</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pensado no problema. É real e o protocolo não o aborda.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verdade e o protocolo não prevê a correcção. A solução é registar em cada questionário o número de adultos elegíveis do agregado e ponderar cada observação pelo inverso da sua probabilidade de selecção, que é proporcional a esse número. As estimativas de prevalência passam a ser calculadas com essas ponderações, através dos procedimentos de amostra complexa do SPSS ou do comando svy em R. É um acrescento simples ao questionário — um único campo — e uma correcção obrigatória na análise.</w:t>
      </w:r>
    </w:p>
    <w:p>
      <w:pPr>
        <w:spacing w:line="276" w:lineRule="auto" w:before="180" w:after="60"/>
        <w:jc w:val="both"/>
      </w:pPr>
      <w:r>
        <w:rPr>
          <w:rFonts w:ascii="Times New Roman" w:hAnsi="Times New Roman" w:cs="Times New Roman" w:eastAsia="Times New Roman"/>
          <w:b/>
          <w:i w:val="0"/>
          <w:color w:val="1F3B57"/>
          <w:sz w:val="20"/>
        </w:rPr>
        <w:t xml:space="preserve">P33. </w:t>
      </w:r>
      <w:r>
        <w:rPr>
          <w:rFonts w:ascii="Times New Roman" w:hAnsi="Times New Roman" w:cs="Times New Roman" w:eastAsia="Times New Roman"/>
          <w:b/>
          <w:i w:val="0"/>
          <w:sz w:val="20"/>
        </w:rPr>
        <w:t>Quantos conglomerados vai seleccionar e porquê esse número?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fala de conglomerados sem nunca dizer quantos. O número condiciona a estimação da variância.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Dar um número pequeno, como cinco ou seis. Com poucos conglomerados a variância entre conglomerados é mal estimada.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Vinte conglomerados, com 33 participantes em cada, o que perfaz 660 e cobre o n de 650. A razão para não descer abaixo de vinte é técnica: a variância entre conglomerados é estimada a partir do número de conglomerados, e com menos de vinte os erros-padrão tornam-se instáveis e os intervalos de confiança pouco fiáveis. Há ainda um compromisso a gerir: para o mesmo n total, mais conglomerados com menos pessoas em cada reduzem o efeito de desenho, mas aumentam o custo de deslocação. Vinte é o equilíbrio entre o rigor estatístico e o orçamento de transporte.</w:t>
      </w:r>
    </w:p>
    <w:p>
      <w:pPr>
        <w:spacing w:line="276" w:lineRule="auto" w:before="180" w:after="60"/>
        <w:jc w:val="both"/>
      </w:pPr>
      <w:r>
        <w:rPr>
          <w:rFonts w:ascii="Times New Roman" w:hAnsi="Times New Roman" w:cs="Times New Roman" w:eastAsia="Times New Roman"/>
          <w:b/>
          <w:i w:val="0"/>
          <w:color w:val="1F3B57"/>
          <w:sz w:val="20"/>
        </w:rPr>
        <w:t xml:space="preserve">P34. </w:t>
      </w:r>
      <w:r>
        <w:rPr>
          <w:rFonts w:ascii="Times New Roman" w:hAnsi="Times New Roman" w:cs="Times New Roman" w:eastAsia="Times New Roman"/>
          <w:b/>
          <w:i w:val="0"/>
          <w:sz w:val="20"/>
        </w:rPr>
        <w:t>Como faz a selecção sistemática dos agregados dentro de cada conglomerado, se não existe uma lista de agregados?</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Exequibilidade concreta da amostragem em terreno rural sem cartografia. É onde muitos protocolos probabilísticos se desfazem na prática.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Descrever um procedimento que exige uma lista que não existe.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Faço um levantamento prévio dos agregados de cada conglomerado seleccionado, com o apoio do líder comunitário e do agente polivalente elementar, que conhecem a totalidade dos agregados — é o procedimento padrão usado pelos inquéritos RAAB e pelos inquéritos de tracoma em Moçambique. Com essa lista, calculo o intervalo de salto dividindo o número total de agregados pelo número de entrevistas a realizar no conglomerado, sorteio o ponto de partida entre 1 e esse intervalo, e sigo sistematicamente. Onde a lista não for viável, uso o método da direcção aleatória a partir do centro do povoado, também documentado nos manuais RAAB.</w:t>
      </w:r>
    </w:p>
    <w:p>
      <w:pPr>
        <w:spacing w:line="276" w:lineRule="auto" w:before="180" w:after="60"/>
        <w:jc w:val="both"/>
      </w:pPr>
      <w:r>
        <w:rPr>
          <w:rFonts w:ascii="Times New Roman" w:hAnsi="Times New Roman" w:cs="Times New Roman" w:eastAsia="Times New Roman"/>
          <w:b/>
          <w:i w:val="0"/>
          <w:color w:val="1F3B57"/>
          <w:sz w:val="20"/>
        </w:rPr>
        <w:t xml:space="preserve">P35. </w:t>
      </w:r>
      <w:r>
        <w:rPr>
          <w:rFonts w:ascii="Times New Roman" w:hAnsi="Times New Roman" w:cs="Times New Roman" w:eastAsia="Times New Roman"/>
          <w:b/>
          <w:i w:val="0"/>
          <w:sz w:val="20"/>
        </w:rPr>
        <w:t>Porquê 18 anos como idade mínima, se a cegueira por catarata se concentra nos maiores de 50?</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a coerência entre a população escolhida e o problema descrito.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argumento e parecer que a idade foi escolhida ao acaso.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Porque o objecto do estudo não é a doença, é a decisão. São os adultos que decidem procurar ou não procurar cuidados, para si e para os familiares mais velhos — e em muitos agregados rurais é o filho ou a filha que decide se o pai com catarata vai ou não à consulta. Acresce que a partir dos 18 anos o consentimento informado é dado directamente, sem representante legal, o que simplifica o procedimento ético. Dito isto, comprometo-me a estratificar a análise por grupo etário, apresentando separadamente os resultados dos participantes com 50 ou mais anos, que são o grupo de maior risco.</w:t>
      </w:r>
    </w:p>
    <w:p>
      <w:pPr>
        <w:spacing w:line="276" w:lineRule="auto" w:before="180" w:after="60"/>
        <w:jc w:val="both"/>
      </w:pPr>
      <w:r>
        <w:rPr>
          <w:rFonts w:ascii="Times New Roman" w:hAnsi="Times New Roman" w:cs="Times New Roman" w:eastAsia="Times New Roman"/>
          <w:b/>
          <w:i w:val="0"/>
          <w:color w:val="1F3B57"/>
          <w:sz w:val="20"/>
        </w:rPr>
        <w:t xml:space="preserve">P36. </w:t>
      </w:r>
      <w:r>
        <w:rPr>
          <w:rFonts w:ascii="Times New Roman" w:hAnsi="Times New Roman" w:cs="Times New Roman" w:eastAsia="Times New Roman"/>
          <w:b/>
          <w:i w:val="0"/>
          <w:sz w:val="20"/>
        </w:rPr>
        <w:t>Exclui pessoas com «perturbações cognitivas graves». Como é que um entrevistador não clínico faz esse juízo no terreno?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Critério de exclusão sem operacionalização. Um comité de ética também vai fazer esta pergunta.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Deixar o critério ao juízo subjectivo do entrevistador.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critério, tal como está redigido, não é operacionalizável por um entrevistador não clínico e reconheço-o. Vou substituí-lo por um critério funcional e observável: a incapacidade de compreender e responder às três perguntas de verificação iniciais do questionário, ou a informação, prestada pelo agregado, de que a pessoa tem uma condição que impede a comunicação. A decisão fica documentada em campo próprio do questionário e é revista pelo supervisor de campo.</w:t>
      </w:r>
    </w:p>
    <w:p>
      <w:pPr>
        <w:spacing w:line="276" w:lineRule="auto" w:before="280" w:after="120"/>
        <w:jc w:val="left"/>
      </w:pPr>
      <w:r>
        <w:rPr>
          <w:rFonts w:ascii="Times New Roman" w:hAnsi="Times New Roman" w:cs="Times New Roman" w:eastAsia="Times New Roman"/>
          <w:b/>
          <w:i w:val="0"/>
          <w:color w:val="1F3B57"/>
          <w:sz w:val="26"/>
        </w:rPr>
        <w:t>Bloco 7. Variáveis e operacionalização</w:t>
      </w:r>
    </w:p>
    <w:p>
      <w:pPr>
        <w:spacing w:line="276" w:lineRule="auto" w:before="180" w:after="60"/>
        <w:jc w:val="both"/>
      </w:pPr>
      <w:r>
        <w:rPr>
          <w:rFonts w:ascii="Times New Roman" w:hAnsi="Times New Roman" w:cs="Times New Roman" w:eastAsia="Times New Roman"/>
          <w:b/>
          <w:i w:val="0"/>
          <w:color w:val="1F3B57"/>
          <w:sz w:val="20"/>
        </w:rPr>
        <w:t xml:space="preserve">P37. </w:t>
      </w:r>
      <w:r>
        <w:rPr>
          <w:rFonts w:ascii="Times New Roman" w:hAnsi="Times New Roman" w:cs="Times New Roman" w:eastAsia="Times New Roman"/>
          <w:b/>
          <w:i w:val="0"/>
          <w:sz w:val="20"/>
        </w:rPr>
        <w:t>O Quadro 2 classifica as atitudes em favorável, indiferente e desfavorável. A sua escala tem quatro pontos, sem ponto neutro. Como obtém a categoria «indiferente»?</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Contradição interna entre o quadro de variáveis e o instrumento. É uma falha real e facilmente demonstrável.</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Tentar explicar que «indiferente» corresponde a respostas intermédias. Não corresponde a nada enquanto não houver pontos de corte definidos.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razão: com uma escala forçada de quatro pontos, sem neutro, a categoria «indiferente» não é directamente obtenível, e o protocolo não define os pontos de corte que a produziriam a partir da pontuação total. Tenho duas soluções e prefiro a segunda: ou passo para uma escala de cinco pontos com ponto neutro, ou — o que é mais defensável — abandono as três categorias e classifico as atitudes em favorável e desfavorável, aplicando à pontuação total o mesmo ponto de corte de Bloom que uso nas outras dimensões. Vou corrigir o Quadro 2 em conformidade.</w:t>
      </w:r>
    </w:p>
    <w:p>
      <w:pPr>
        <w:spacing w:line="276" w:lineRule="auto" w:before="180" w:after="60"/>
        <w:jc w:val="both"/>
      </w:pPr>
      <w:r>
        <w:rPr>
          <w:rFonts w:ascii="Times New Roman" w:hAnsi="Times New Roman" w:cs="Times New Roman" w:eastAsia="Times New Roman"/>
          <w:b/>
          <w:i w:val="0"/>
          <w:color w:val="1F3B57"/>
          <w:sz w:val="20"/>
        </w:rPr>
        <w:t xml:space="preserve">P38. </w:t>
      </w:r>
      <w:r>
        <w:rPr>
          <w:rFonts w:ascii="Times New Roman" w:hAnsi="Times New Roman" w:cs="Times New Roman" w:eastAsia="Times New Roman"/>
          <w:b/>
          <w:i w:val="0"/>
          <w:sz w:val="20"/>
        </w:rPr>
        <w:t>A secção 7.6 diz que as três dimensões são operacionalizadas «em três níveis, segundo os pontos de corte de Bloom». O Quadro 2, duas linhas abaixo, dá às práticas apenas dois níveis. Qual é a versão correcta?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Contradição interna dentro da mesma página. É o tipo de inconsistência que sugere revisão apressada.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reparado.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São incoerentes e reconheço-o. A versão que vou adoptar é a dicotómica para as práticas — adequadas contra inadequadas — porque é o desfecho que entra na regressão logística binária prevista na secção 7.9, e uma regressão logística binária exige um desfecho de dois níveis. Vou corrigir o texto da secção 7.6 para reflectir que o conhecimento tem três níveis, para efeitos descritivos, e é dicotomizado para efeitos analíticos, e que as práticas são dicotómicas desde o início.</w:t>
      </w:r>
    </w:p>
    <w:p>
      <w:pPr>
        <w:spacing w:line="276" w:lineRule="auto" w:before="180" w:after="60"/>
        <w:jc w:val="both"/>
      </w:pPr>
      <w:r>
        <w:rPr>
          <w:rFonts w:ascii="Times New Roman" w:hAnsi="Times New Roman" w:cs="Times New Roman" w:eastAsia="Times New Roman"/>
          <w:b/>
          <w:i w:val="0"/>
          <w:color w:val="1F3B57"/>
          <w:sz w:val="20"/>
        </w:rPr>
        <w:t xml:space="preserve">P39. </w:t>
      </w:r>
      <w:r>
        <w:rPr>
          <w:rFonts w:ascii="Times New Roman" w:hAnsi="Times New Roman" w:cs="Times New Roman" w:eastAsia="Times New Roman"/>
          <w:b/>
          <w:i w:val="0"/>
          <w:sz w:val="20"/>
        </w:rPr>
        <w:t>Qual é a pontuação máxima da dimensão do conhecimento? E como pontua o item 8, que admite mais do que uma resposta?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 chave de correcção não existe no protocolo. Sem ela, o ponto de corte de 80 % é indefinido e o estudo não é replicável.</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Improvisar um número. Se disser «sete pontos», a pergunta seguinte é como pontua os itens de resposta múltipla, e a incoerência aparece.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chave de correcção é o elemento que falta e assumo-o. A proposta que vou anexar é a seguinte: cada opção correcta assinalada nos itens 8 e 9 vale um ponto, cada opção incorrecta assinalada desconta um ponto, com o mínimo de zero por item, e os itens 7, 10, 11, 12 e 13 valem um ponto cada. Com quatro opções correctas no item 8 e quatro no item 9, a pontuação máxima da dimensão passa a ser treze pontos, e o corte de 80 % corresponde a 10,4 pontos. Vou anexar a chave completa ao protocolo, com a pontuação de cada item e a pontuação máxima de cada dimensão.</w:t>
      </w:r>
    </w:p>
    <w:p>
      <w:pPr>
        <w:spacing w:line="276" w:lineRule="auto" w:before="180" w:after="60"/>
        <w:jc w:val="both"/>
      </w:pPr>
      <w:r>
        <w:rPr>
          <w:rFonts w:ascii="Times New Roman" w:hAnsi="Times New Roman" w:cs="Times New Roman" w:eastAsia="Times New Roman"/>
          <w:b/>
          <w:i w:val="0"/>
          <w:color w:val="1F3B57"/>
          <w:sz w:val="20"/>
        </w:rPr>
        <w:t xml:space="preserve">P40. </w:t>
      </w:r>
      <w:r>
        <w:rPr>
          <w:rFonts w:ascii="Times New Roman" w:hAnsi="Times New Roman" w:cs="Times New Roman" w:eastAsia="Times New Roman"/>
          <w:b/>
          <w:i w:val="0"/>
          <w:sz w:val="20"/>
        </w:rPr>
        <w:t>A sua revisão da literatura diz que o custo é a barreira mais referida, com 53 %, e que a pobreza tem um OR de 2,6 em Sofala. Onde está a variável rendimento no Quadro 2?</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Incoerência entre a revisão e o instrumento: os determinantes identificados como principais não são medidos. É uma das críticas mais fortes possíveis.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o rendimento é difícil de medir em meio rural. É difícil, mas mede-se por proxy — e o júri sabe.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está, e é uma inconsistência real entre a minha revisão e o meu instrumento. Vou corrigi-la acrescentando à secção sociodemográfica quatro itens: um índice de riqueza por proxy de bens do agregado — rádio, bicicleta, telemóvel, tipo de tecto e fonte de água, seguindo o modelo do Inquérito Demográfico e de Saúde de Moçambique —, o tempo de deslocação a pé até à unidade sanitária mais próxima, a dimensão do agregado e o estado civil. São quatro itens que acrescentam menos de dois minutos à entrevista e que evitam confundimento residual no modelo multivariável.</w:t>
      </w:r>
    </w:p>
    <w:p>
      <w:pPr>
        <w:spacing w:line="276" w:lineRule="auto" w:before="180" w:after="60"/>
        <w:jc w:val="both"/>
      </w:pPr>
      <w:r>
        <w:rPr>
          <w:rFonts w:ascii="Times New Roman" w:hAnsi="Times New Roman" w:cs="Times New Roman" w:eastAsia="Times New Roman"/>
          <w:b/>
          <w:i w:val="0"/>
          <w:color w:val="1F3B57"/>
          <w:sz w:val="20"/>
        </w:rPr>
        <w:t xml:space="preserve">P41. </w:t>
      </w:r>
      <w:r>
        <w:rPr>
          <w:rFonts w:ascii="Times New Roman" w:hAnsi="Times New Roman" w:cs="Times New Roman" w:eastAsia="Times New Roman"/>
          <w:b/>
          <w:i w:val="0"/>
          <w:sz w:val="20"/>
        </w:rPr>
        <w:t>A variável «acesso a serviços oculares», medida por sim ou não, é subjectiva. Duas pessoas na mesma aldeia podem responder de forma diferente. Como a operacionaliza?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Variável mal definida no Quadro 2 e no item 6 do questionário.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a formulação actual.</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subjectiva e vou substituí-la por medidas objectivas: o tempo de deslocação declarado até à unidade sanitária mais próxima, categorizado, e o registo de qual é essa unidade. Mantenho, como variável distinta e de natureza comportamental, a existência de uma consulta oftalmológica ou de optometria nos últimos doze meses. Assim separo o acesso potencial do acesso efectivo, que são conceitos diferentes e que a formulação actual confunde.</w:t>
      </w:r>
    </w:p>
    <w:p>
      <w:pPr>
        <w:spacing w:line="276" w:lineRule="auto" w:before="180" w:after="60"/>
        <w:jc w:val="both"/>
      </w:pPr>
      <w:r>
        <w:rPr>
          <w:rFonts w:ascii="Times New Roman" w:hAnsi="Times New Roman" w:cs="Times New Roman" w:eastAsia="Times New Roman"/>
          <w:b/>
          <w:i w:val="0"/>
          <w:color w:val="1F3B57"/>
          <w:sz w:val="20"/>
        </w:rPr>
        <w:t xml:space="preserve">P42. </w:t>
      </w:r>
      <w:r>
        <w:rPr>
          <w:rFonts w:ascii="Times New Roman" w:hAnsi="Times New Roman" w:cs="Times New Roman" w:eastAsia="Times New Roman"/>
          <w:b/>
          <w:i w:val="0"/>
          <w:sz w:val="20"/>
        </w:rPr>
        <w:t>O item 26 pergunta se participaria numa campanha gratuita. Isso é uma prática ou uma intenção?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Erro de classificação de construto: um item de intenção colocado na dimensão das práticas contamina a pontuação.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Argumentar que a intenção «reflecte» a prática. São construtos distintos e a literatura CAP distingue-os.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intenção, não uma prática, e está mal colocado. Tenho duas opções: transferi-lo para a dimensão das atitudes, onde a intenção se enquadra melhor, ou mantê-lo na secção de práticas mas excluí-lo do cálculo da pontuação, tratando-o como variável descritiva autónoma. Prefiro a segunda, porque a disponibilidade declarada para participar em campanhas é informação operacionalmente útil para os serviços, mesmo não sendo uma prática. O item 25, das barreiras, será tratado do mesmo modo: descritivo, fora da pontuação.</w:t>
      </w:r>
    </w:p>
    <w:p>
      <w:pPr>
        <w:spacing w:line="276" w:lineRule="auto" w:before="180" w:after="60"/>
        <w:jc w:val="both"/>
      </w:pPr>
      <w:r>
        <w:rPr>
          <w:rFonts w:ascii="Times New Roman" w:hAnsi="Times New Roman" w:cs="Times New Roman" w:eastAsia="Times New Roman"/>
          <w:b/>
          <w:i w:val="0"/>
          <w:color w:val="1F3B57"/>
          <w:sz w:val="20"/>
        </w:rPr>
        <w:t xml:space="preserve">P43. </w:t>
      </w:r>
      <w:r>
        <w:rPr>
          <w:rFonts w:ascii="Times New Roman" w:hAnsi="Times New Roman" w:cs="Times New Roman" w:eastAsia="Times New Roman"/>
          <w:b/>
          <w:i w:val="0"/>
          <w:sz w:val="20"/>
        </w:rPr>
        <w:t>Não mede acuidade visual. Num trabalho de licenciatura em Optometria, isso não é uma omissão estranha?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previsível de um júri de Optometria. Testa se a delimitação foi pensada.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não tem equipamento. Um optótipo de Snellen é barato e o argumento soa a desculpa.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decisão de delimitação, não uma omissão. O objecto do estudo é o que a comunidade sabe, sente e faz, e não quanta cegueira existe — essa dimensão já foi medida pelos RAAB de 2011 e 2018 na mesma província, e replicá-la exigiria outro cálculo amostral, outro desenho e exame clínico de todos os participantes. Dito isto, reconheço que uma medição simples de acuidade visual com optótipo a três metros seria um acrescento de valor considerável, sobretudo para cruzar a percepção subjectiva de visão com a acuidade real, e é viável se o júri o considerar prioritário. A contrapartida é o alargamento do tempo de entrevista e do orçamento.</w:t>
      </w:r>
    </w:p>
    <w:p>
      <w:pPr>
        <w:spacing w:line="276" w:lineRule="auto" w:before="280" w:after="120"/>
        <w:jc w:val="left"/>
      </w:pPr>
      <w:r>
        <w:rPr>
          <w:rFonts w:ascii="Times New Roman" w:hAnsi="Times New Roman" w:cs="Times New Roman" w:eastAsia="Times New Roman"/>
          <w:b/>
          <w:i w:val="0"/>
          <w:color w:val="1F3B57"/>
          <w:sz w:val="26"/>
        </w:rPr>
        <w:t>Bloco 8. Instrumento de recolha</w:t>
      </w:r>
    </w:p>
    <w:p>
      <w:pPr>
        <w:spacing w:line="276" w:lineRule="auto" w:before="180" w:after="60"/>
        <w:jc w:val="both"/>
      </w:pPr>
      <w:r>
        <w:rPr>
          <w:rFonts w:ascii="Times New Roman" w:hAnsi="Times New Roman" w:cs="Times New Roman" w:eastAsia="Times New Roman"/>
          <w:b/>
          <w:i w:val="0"/>
          <w:color w:val="1F3B57"/>
          <w:sz w:val="20"/>
        </w:rPr>
        <w:t xml:space="preserve">P44. </w:t>
      </w:r>
      <w:r>
        <w:rPr>
          <w:rFonts w:ascii="Times New Roman" w:hAnsi="Times New Roman" w:cs="Times New Roman" w:eastAsia="Times New Roman"/>
          <w:b/>
          <w:i w:val="0"/>
          <w:sz w:val="20"/>
        </w:rPr>
        <w:t>A recolha será feita em Emakhuwa, mas o questionário do Apêndice A está em português. Onde está a versão em Emakhuwa?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É a falha operacional mais grave do instrumento e compromete a validade de toda a medição.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que os entrevistadores traduzem no momento. É exactamente isso que não pode acontecer.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existe ainda, e é a correcção mais urgente do protocolo. Se cada entrevistador traduzir no momento, cada participante responde na prática a um questionário diferente, e a comparabilidade das respostas desaparece. O procedimento que vou adoptar é o padrão da adaptação transcultural: tradução para Emakhuwa por dois tradutores independentes, síntese das duas versões, retroversão para português por um terceiro tradutor cego às versões anteriores, painel de harmonização com um optometrista e um falante nativo, e pré-teste da versão final. A versão em Emakhuwa será anexada ao protocolo antes da submissão ao comité, porque o comité aprova o instrumento que vai ser efectivamente aplicado.</w:t>
      </w:r>
    </w:p>
    <w:p>
      <w:pPr>
        <w:spacing w:line="276" w:lineRule="auto" w:before="180" w:after="60"/>
        <w:jc w:val="both"/>
      </w:pPr>
      <w:r>
        <w:rPr>
          <w:rFonts w:ascii="Times New Roman" w:hAnsi="Times New Roman" w:cs="Times New Roman" w:eastAsia="Times New Roman"/>
          <w:b/>
          <w:i w:val="0"/>
          <w:color w:val="1F3B57"/>
          <w:sz w:val="20"/>
        </w:rPr>
        <w:t xml:space="preserve">P45. </w:t>
      </w:r>
      <w:r>
        <w:rPr>
          <w:rFonts w:ascii="Times New Roman" w:hAnsi="Times New Roman" w:cs="Times New Roman" w:eastAsia="Times New Roman"/>
          <w:b/>
          <w:i w:val="0"/>
          <w:sz w:val="20"/>
        </w:rPr>
        <w:t>Sete itens de conhecimento chegam para classificar alguém em três níveis de Bloom?</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consciência das propriedades psicométricas do instrumento. Com sete itens, os cortes são instáveis.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sim porque a literatura também usa poucos itens. Não é verdade nos estudos que cita.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chegam e reconheço-o. Com sete itens dicotómicos, o corte de 80 % corresponde a seis respostas certas, e um único erro desloca o participante de bom para moderado — a classificação torna-se sensível ao acaso e o KR-20 tenderá a ser baixo, porque a consistência interna aumenta com o número de itens. Vou alargar a secção de conhecimento para doze a quinze itens, extraídos das mesmas fontes validadas, cobrindo de forma equilibrada as cinco causas que delimitei. Vou também reportar a pontuação contínua além da categorizada, e fazer análise de sensibilidade com a mediana como corte alternativo.</w:t>
      </w:r>
    </w:p>
    <w:p>
      <w:pPr>
        <w:spacing w:line="276" w:lineRule="auto" w:before="180" w:after="60"/>
        <w:jc w:val="both"/>
      </w:pPr>
      <w:r>
        <w:rPr>
          <w:rFonts w:ascii="Times New Roman" w:hAnsi="Times New Roman" w:cs="Times New Roman" w:eastAsia="Times New Roman"/>
          <w:b/>
          <w:i w:val="0"/>
          <w:color w:val="1F3B57"/>
          <w:sz w:val="20"/>
        </w:rPr>
        <w:t xml:space="preserve">P46. </w:t>
      </w:r>
      <w:r>
        <w:rPr>
          <w:rFonts w:ascii="Times New Roman" w:hAnsi="Times New Roman" w:cs="Times New Roman" w:eastAsia="Times New Roman"/>
          <w:b/>
          <w:i w:val="0"/>
          <w:sz w:val="20"/>
        </w:rPr>
        <w:t>Prevê calcular KR-20 e alfa de Cronbach, mas não prevê nenhuma avaliação de validade. Fiabilidade e validade são a mesma coisa?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Distinção conceptual básica em psicometria que muitos protocolos confundem. Um instrumento pode ser perfeitamente consistente e medir a coisa errada.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Confundir os dois conceitos ou tratar a fiabilidade como suficiente.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são. A fiabilidade mede a consistência — se os itens medem coerentemente a mesma coisa — e é isso que o KR-20 e o alfa de Cronbach avaliam. A validade mede se o instrumento mede aquilo que se pretende medir. Um instrumento pode ter alfa de 0,90 e medir sistematicamente o construto errado. O protocolo prevê fiabilidade e não prevê validade, e é uma lacuna. Vou acrescentar a validade de conteúdo por painel de peritos — dois optometristas, um especialista em saúde pública e um falante nativo de Emakhuwa — com cálculo do índice de validade de conteúdo, aceitando itens com valor igual ou superior a 0,78.</w:t>
      </w:r>
    </w:p>
    <w:p>
      <w:pPr>
        <w:spacing w:line="276" w:lineRule="auto" w:before="180" w:after="60"/>
        <w:jc w:val="both"/>
      </w:pPr>
      <w:r>
        <w:rPr>
          <w:rFonts w:ascii="Times New Roman" w:hAnsi="Times New Roman" w:cs="Times New Roman" w:eastAsia="Times New Roman"/>
          <w:b/>
          <w:i w:val="0"/>
          <w:color w:val="1F3B57"/>
          <w:sz w:val="20"/>
        </w:rPr>
        <w:t xml:space="preserve">P47. </w:t>
      </w:r>
      <w:r>
        <w:rPr>
          <w:rFonts w:ascii="Times New Roman" w:hAnsi="Times New Roman" w:cs="Times New Roman" w:eastAsia="Times New Roman"/>
          <w:b/>
          <w:i w:val="0"/>
          <w:sz w:val="20"/>
        </w:rPr>
        <w:t>O item 25, das barreiras, é adaptado do módulo RAAB. No RAAB esse módulo é aplicado apenas a pessoas com catarata operável identificada por exame. Você aplica-o a toda a população, de forma hipotética. Isso é legítimo?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técnica sofisticada sobre uso de instrumento fora do seu contexto de validação. Só um oponente que conheça o RAAB a faz — mas é justamente essa a referência 18 que cita.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conhecer a diferença entre a aplicação original e a sua adaptação.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diferença real e importante. No RAAB, as barreiras são perguntadas a quem foi examinado e tem catarata operável, e medem barreiras efectivas. Na minha adaptação, a pergunta é hipotética e mede barreiras antecipadas, que é um construto diferente e provavelmente menos preciso. Vou declarar explicitamente essa diferença no protocolo e nas limitações, reformular o item para deixar claro o seu carácter hipotético, e tratar os seus resultados como indicadores de percepção de barreiras, e não como estimativas de barreiras reais. É informação válida para orientar comunicação em saúde, mas não é comparável directamente com os dados do RAAB.</w:t>
      </w:r>
    </w:p>
    <w:p>
      <w:pPr>
        <w:spacing w:line="276" w:lineRule="auto" w:before="180" w:after="60"/>
        <w:jc w:val="both"/>
      </w:pPr>
      <w:r>
        <w:rPr>
          <w:rFonts w:ascii="Times New Roman" w:hAnsi="Times New Roman" w:cs="Times New Roman" w:eastAsia="Times New Roman"/>
          <w:b/>
          <w:i w:val="0"/>
          <w:color w:val="1F3B57"/>
          <w:sz w:val="20"/>
        </w:rPr>
        <w:t xml:space="preserve">P48. </w:t>
      </w:r>
      <w:r>
        <w:rPr>
          <w:rFonts w:ascii="Times New Roman" w:hAnsi="Times New Roman" w:cs="Times New Roman" w:eastAsia="Times New Roman"/>
          <w:b/>
          <w:i w:val="0"/>
          <w:sz w:val="20"/>
        </w:rPr>
        <w:t>A escala de atitudes tem três itens invertidos, os 17, 18 e 19. Onde está a regra de recodificação?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Detalhe operacional obrigatório. Sem regra escrita, o cálculo da pontuação não é replicável.</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«é evidente». Não é: o protocolo diz apenas que serão pontuados «de forma invertida», sem indicar a operação.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assinala os itens invertidos, o que é correcto, mas não escreve a regra. Vou explicitá-la: para os itens 17, 18 e 19, a pontuação é recodificada como 5 menos o valor assinalado, de modo que discordo totalmente passe a valer 4 e concordo totalmente passe a valer 1. Assim, uma pontuação alta significa sempre atitude favorável, em todos os itens. Vou também verificar, no pré-teste, a correlação item-total de cada item invertido, porque os itens invertidos são conhecidos por gerarem confusão em populações com baixa literacia.</w:t>
      </w:r>
    </w:p>
    <w:p>
      <w:pPr>
        <w:spacing w:line="276" w:lineRule="auto" w:before="180" w:after="60"/>
        <w:jc w:val="both"/>
      </w:pPr>
      <w:r>
        <w:rPr>
          <w:rFonts w:ascii="Times New Roman" w:hAnsi="Times New Roman" w:cs="Times New Roman" w:eastAsia="Times New Roman"/>
          <w:b/>
          <w:i w:val="0"/>
          <w:color w:val="1F3B57"/>
          <w:sz w:val="20"/>
        </w:rPr>
        <w:t xml:space="preserve">P49. </w:t>
      </w:r>
      <w:r>
        <w:rPr>
          <w:rFonts w:ascii="Times New Roman" w:hAnsi="Times New Roman" w:cs="Times New Roman" w:eastAsia="Times New Roman"/>
          <w:b/>
          <w:i w:val="0"/>
          <w:sz w:val="20"/>
        </w:rPr>
        <w:t>Quantos participantes terá o pré-teste e onde será feito?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prevê pré-teste e não diz nem quantos nem onde. É exequibilidade concreta.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números.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não o especifica e vou corrigi-lo. A regra habitual é entre 5 e 10 % da amostra final, o que com 650 dá entre 33 e 65 participantes; proponho 40. Será realizado numa comunidade do mesmo distrito com características semelhantes mas que não integra os conglomerados sorteados, para não contaminar a amostra. Os objectivos do pré-teste são três: verificar a compreensão das perguntas em Emakhuwa, medir a duração real da entrevista e calcular a fiabilidade preliminar. Os participantes do pré-teste não entram na amostra final.</w:t>
      </w:r>
    </w:p>
    <w:p>
      <w:pPr>
        <w:spacing w:line="276" w:lineRule="auto" w:before="180" w:after="60"/>
        <w:jc w:val="both"/>
      </w:pPr>
      <w:r>
        <w:rPr>
          <w:rFonts w:ascii="Times New Roman" w:hAnsi="Times New Roman" w:cs="Times New Roman" w:eastAsia="Times New Roman"/>
          <w:b/>
          <w:i w:val="0"/>
          <w:color w:val="1F3B57"/>
          <w:sz w:val="20"/>
        </w:rPr>
        <w:t xml:space="preserve">P50. </w:t>
      </w:r>
      <w:r>
        <w:rPr>
          <w:rFonts w:ascii="Times New Roman" w:hAnsi="Times New Roman" w:cs="Times New Roman" w:eastAsia="Times New Roman"/>
          <w:b/>
          <w:i w:val="0"/>
          <w:sz w:val="20"/>
        </w:rPr>
        <w:t>Que formação terão os entrevistadores, quanto tempo e quem a dá?</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diz «entrevistadores previamente treinados» e não diz mais nada. É a segunda fonte de viés de informação e não tem plano.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de forma vaga.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é vago neste ponto e vou detalhá-lo. Proponho dois dias de formação, dados por mim sob supervisão do orientador, cobrindo cinco pontos: os objectivos do estudo e a ética da investigação, com ênfase no procedimento de consentimento; a leitura literal do questionário em Emakhuwa, sem reformulações; o procedimento de amostragem, incluindo a grelha de Kish; a neutralidade de postura perante as respostas, para reduzir a desejabilidade social; e simulações de entrevista com correcção. No terreno, prevejo supervisão diária e verificação de 10 % dos questionários por revisita.</w:t>
      </w:r>
    </w:p>
    <w:p>
      <w:pPr>
        <w:spacing w:line="276" w:lineRule="auto" w:before="280" w:after="120"/>
        <w:jc w:val="left"/>
      </w:pPr>
      <w:r>
        <w:rPr>
          <w:rFonts w:ascii="Times New Roman" w:hAnsi="Times New Roman" w:cs="Times New Roman" w:eastAsia="Times New Roman"/>
          <w:b/>
          <w:i w:val="0"/>
          <w:color w:val="1F3B57"/>
          <w:sz w:val="26"/>
        </w:rPr>
        <w:t>Bloco 9. Plano de análise estatística</w:t>
      </w:r>
    </w:p>
    <w:p>
      <w:pPr>
        <w:spacing w:line="276" w:lineRule="auto" w:before="180" w:after="60"/>
        <w:jc w:val="both"/>
      </w:pPr>
      <w:r>
        <w:rPr>
          <w:rFonts w:ascii="Times New Roman" w:hAnsi="Times New Roman" w:cs="Times New Roman" w:eastAsia="Times New Roman"/>
          <w:b/>
          <w:i w:val="0"/>
          <w:color w:val="1F3B57"/>
          <w:sz w:val="20"/>
        </w:rPr>
        <w:t xml:space="preserve">P51. </w:t>
      </w:r>
      <w:r>
        <w:rPr>
          <w:rFonts w:ascii="Times New Roman" w:hAnsi="Times New Roman" w:cs="Times New Roman" w:eastAsia="Times New Roman"/>
          <w:b/>
          <w:i w:val="0"/>
          <w:sz w:val="20"/>
        </w:rPr>
        <w:t>Prevê qui-quadrado e regressão logística binária. Ambos pressupõem observações independentes. A sua amostragem é por conglomerados. Como resolve isso?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É a segunda falha metodológica mais grave do protocolo, e a que um oponente com formação em bioestatística vai atacar primeiro.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o efeito é pequeno. Não sabe se é, e a correcção é obrigatória independentemente da magnitude.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razão e aceito a correcção integralmente. Ao ignorar o agrupamento, os erros-padrão saem subestimados, os intervalos de confiança demasiado estreitos e o erro tipo I inflacionado — ou seja, declararia significativas associações que não o são. O plano de análise passa a especificar: estimação com procedimentos de amostra complexa, declarando o conglomerado como unidade primária de amostragem e aplicando ponderação pelo inverso da probabilidade de selecção; erros-padrão robustos agrupados por conglomerado na regressão logística; e reporte do efeito de desenho observado, para comparação com o valor de 1,5 que assumi no cálculo amostral. Em SPSS uso o módulo Complex Samples; em R, o pacote survey.</w:t>
      </w:r>
    </w:p>
    <w:p>
      <w:pPr>
        <w:spacing w:line="276" w:lineRule="auto" w:before="180" w:after="60"/>
        <w:jc w:val="both"/>
      </w:pPr>
      <w:r>
        <w:rPr>
          <w:rFonts w:ascii="Times New Roman" w:hAnsi="Times New Roman" w:cs="Times New Roman" w:eastAsia="Times New Roman"/>
          <w:b/>
          <w:i w:val="0"/>
          <w:color w:val="1F3B57"/>
          <w:sz w:val="20"/>
        </w:rPr>
        <w:t xml:space="preserve">P52. </w:t>
      </w:r>
      <w:r>
        <w:rPr>
          <w:rFonts w:ascii="Times New Roman" w:hAnsi="Times New Roman" w:cs="Times New Roman" w:eastAsia="Times New Roman"/>
          <w:b/>
          <w:i w:val="0"/>
          <w:sz w:val="20"/>
        </w:rPr>
        <w:t>O conhecimento tem três níveis. A regressão logística binária exige um desfecho de dois. Como dicotomiza?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Detalhe de operacionalização que o protocolo não resolve.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Improvisar. A escolha do ponto de corte altera os resultados e tem de ser pré-especificada.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Pré-especificando o corte antes de ver os dados, o que é a regra. Vou agrupar moderado e fraco numa categoria única, contraposta a bom, mantendo o corte de Bloom nos 80 % — é o procedimento usado nos estudos etíopes do meu Quadro 1, o que garante comparabilidade. Faço depois análise de sensibilidade com um corte alternativo aos 60 %, agrupando bom e moderado contra fraco, e reporto ambos os modelos se divergirem. O essencial é que o corte fica escrito no protocolo antes da recolha.</w:t>
      </w:r>
    </w:p>
    <w:p>
      <w:pPr>
        <w:spacing w:line="276" w:lineRule="auto" w:before="180" w:after="60"/>
        <w:jc w:val="both"/>
      </w:pPr>
      <w:r>
        <w:rPr>
          <w:rFonts w:ascii="Times New Roman" w:hAnsi="Times New Roman" w:cs="Times New Roman" w:eastAsia="Times New Roman"/>
          <w:b/>
          <w:i w:val="0"/>
          <w:color w:val="1F3B57"/>
          <w:sz w:val="20"/>
        </w:rPr>
        <w:t xml:space="preserve">P53. </w:t>
      </w:r>
      <w:r>
        <w:rPr>
          <w:rFonts w:ascii="Times New Roman" w:hAnsi="Times New Roman" w:cs="Times New Roman" w:eastAsia="Times New Roman"/>
          <w:b/>
          <w:i w:val="0"/>
          <w:sz w:val="20"/>
        </w:rPr>
        <w:t>Que critério usa para incluir uma variável no modelo multivariável?</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diz «bivariada e multivariável» sem critério de entrada. Sem regra, a selecção de variáveis é discricionária.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«as que forem significativas». Usar p &lt; 0,05 na bivariada como filtro exclui confundidores importantes.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Duas regras combinadas. Primeira, inclusão forçada dos confundidores definidos a priori — idade, sexo e escolaridade — independentemente da significância bivariada, porque são confundidores conhecidos e não devem depender de um teste. Segunda, inclusão das restantes variáveis com p inferior a 0,20 na análise bivariada, que é o limiar convencional e deliberadamente permissivo, para não perder confundidores. Verifico depois a multicolinearidade pelo factor de inflação da variância, com limiar de 5, e o ajuste do modelo pelo teste de Hosmer-Lemeshow.</w:t>
      </w:r>
    </w:p>
    <w:p>
      <w:pPr>
        <w:spacing w:line="276" w:lineRule="auto" w:before="180" w:after="60"/>
        <w:jc w:val="both"/>
      </w:pPr>
      <w:r>
        <w:rPr>
          <w:rFonts w:ascii="Times New Roman" w:hAnsi="Times New Roman" w:cs="Times New Roman" w:eastAsia="Times New Roman"/>
          <w:b/>
          <w:i w:val="0"/>
          <w:color w:val="1F3B57"/>
          <w:sz w:val="20"/>
        </w:rPr>
        <w:t xml:space="preserve">P54. </w:t>
      </w:r>
      <w:r>
        <w:rPr>
          <w:rFonts w:ascii="Times New Roman" w:hAnsi="Times New Roman" w:cs="Times New Roman" w:eastAsia="Times New Roman"/>
          <w:b/>
          <w:i w:val="0"/>
          <w:sz w:val="20"/>
        </w:rPr>
        <w:t>Com quantas variáveis pode alimentar uma regressão logística com o seu n?</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Regra dos eventos por variável. Testa se sabe que o n limita a complexidade do modelo.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conhecer a regra.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regra convencional é de pelo menos dez eventos por variável independente, contando os eventos na categoria menos frequente do desfecho. Se as práticas adequadas rondarem os 35 % de 650, terei cerca de 228 eventos, o que suporta um modelo com até vinte e duas variáveis — muito acima das oito a dez que pretendo usar. Há folga confortável. O constrangimento real do meu n não é a complexidade do modelo, é a magnitude mínima do efeito detectável.</w:t>
      </w:r>
    </w:p>
    <w:p>
      <w:pPr>
        <w:spacing w:line="276" w:lineRule="auto" w:before="180" w:after="60"/>
        <w:jc w:val="both"/>
      </w:pPr>
      <w:r>
        <w:rPr>
          <w:rFonts w:ascii="Times New Roman" w:hAnsi="Times New Roman" w:cs="Times New Roman" w:eastAsia="Times New Roman"/>
          <w:b/>
          <w:i w:val="0"/>
          <w:color w:val="1F3B57"/>
          <w:sz w:val="20"/>
        </w:rPr>
        <w:t xml:space="preserve">P55. </w:t>
      </w:r>
      <w:r>
        <w:rPr>
          <w:rFonts w:ascii="Times New Roman" w:hAnsi="Times New Roman" w:cs="Times New Roman" w:eastAsia="Times New Roman"/>
          <w:b/>
          <w:i w:val="0"/>
          <w:sz w:val="20"/>
        </w:rPr>
        <w:t>Qual é o poder do seu estudo para detectar a associação que quer testar?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n foi calculado para estimar uma proporção, não para detectar associações. É a pergunta que expõe essa diferença.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Confundir precisão da estimativa com poder do teste. São coisas distintas.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São dois cálculos diferentes e reconheço que só fiz o primeiro. Para estimar uma proporção com margem de 5 pontos percentuais preciso de 385, inflacionados para 650 pelo desenho e pela não-resposta. Para detectar uma razão de possibilidades de 2,0 entre dois grupos equilibrados, com prevalência de 40 % no grupo de referência, α de 5 % e poder de 80 %, preciso de 133 por grupo, ou seja 266, que ajustados pelo efeito de desenho dão cerca de 400. Com 650 há folga. O limite honesto é que, para efeitos mais modestos, da ordem de 1,75, precisaria de cerca de 610 — ainda dentro do n, mas sem margem — e efeitos inferiores a esse poderão não ser detectados. Vou declarar isto nas limitações.</w:t>
      </w:r>
    </w:p>
    <w:p>
      <w:pPr>
        <w:spacing w:line="276" w:lineRule="auto" w:before="180" w:after="60"/>
        <w:jc w:val="both"/>
      </w:pPr>
      <w:r>
        <w:rPr>
          <w:rFonts w:ascii="Times New Roman" w:hAnsi="Times New Roman" w:cs="Times New Roman" w:eastAsia="Times New Roman"/>
          <w:b/>
          <w:i w:val="0"/>
          <w:color w:val="1F3B57"/>
          <w:sz w:val="20"/>
        </w:rPr>
        <w:t xml:space="preserve">P56. </w:t>
      </w:r>
      <w:r>
        <w:rPr>
          <w:rFonts w:ascii="Times New Roman" w:hAnsi="Times New Roman" w:cs="Times New Roman" w:eastAsia="Times New Roman"/>
          <w:b/>
          <w:i w:val="0"/>
          <w:sz w:val="20"/>
        </w:rPr>
        <w:t>Como vai lidar com dados em falta?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não menciona valores omissos, que são inevitáveis em inquéritos comunitários.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não haverá dados em falta porque a entrevista é assistida. Haverá: recusas parciais e itens não aplicáveis.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não o prevê e é uma omissão. Vou especificar: reportar a proporção de valores omissos por variável; se for inferior a 5 %, análise de casos completos, que é aceitável nessa magnitude; se for superior, ponderar imputação múltipla por equações encadeadas. Distinguirei ainda o «não sabe», que é uma resposta substantiva e pontua zero na dimensão do conhecimento, da recusa de resposta, que é um valor omisso — são coisas diferentes e devem ser codificadas de forma diferente.</w:t>
      </w:r>
    </w:p>
    <w:p>
      <w:pPr>
        <w:spacing w:line="276" w:lineRule="auto" w:before="180" w:after="60"/>
        <w:jc w:val="both"/>
      </w:pPr>
      <w:r>
        <w:rPr>
          <w:rFonts w:ascii="Times New Roman" w:hAnsi="Times New Roman" w:cs="Times New Roman" w:eastAsia="Times New Roman"/>
          <w:b/>
          <w:i w:val="0"/>
          <w:color w:val="1F3B57"/>
          <w:sz w:val="20"/>
        </w:rPr>
        <w:t xml:space="preserve">P57. </w:t>
      </w:r>
      <w:r>
        <w:rPr>
          <w:rFonts w:ascii="Times New Roman" w:hAnsi="Times New Roman" w:cs="Times New Roman" w:eastAsia="Times New Roman"/>
          <w:b/>
          <w:i w:val="0"/>
          <w:sz w:val="20"/>
        </w:rPr>
        <w:t>Vai fazer muitos testes bivariados. Como controla o erro tipo I acumulado?</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Multiplicidade de testes. Pergunta de bioestatístico.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aplica correcção de Bonferroni a tudo. Seria excessivamente conservador e desnecessário aqui.</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minha inferência principal não assenta nos testes bivariados, assenta no modelo multivariável pré-especificado. Os testes bivariados servem de rastreio para a selecção de variáveis, com o limiar permissivo de 0,20, e não geram conclusões próprias. Vou declarar explicitamente esse estatuto exploratório e reportar todos os testes realizados, e não apenas os significativos, o que é a salvaguarda mais importante contra a multiplicidade selectiva.</w:t>
      </w:r>
    </w:p>
    <w:p>
      <w:pPr>
        <w:spacing w:line="276" w:lineRule="auto" w:before="280" w:after="120"/>
        <w:jc w:val="left"/>
      </w:pPr>
      <w:r>
        <w:rPr>
          <w:rFonts w:ascii="Times New Roman" w:hAnsi="Times New Roman" w:cs="Times New Roman" w:eastAsia="Times New Roman"/>
          <w:b/>
          <w:i w:val="0"/>
          <w:color w:val="1F3B57"/>
          <w:sz w:val="26"/>
        </w:rPr>
        <w:t>Bloco 10. Viés e limitações antecipadas</w:t>
      </w:r>
    </w:p>
    <w:p>
      <w:pPr>
        <w:spacing w:line="276" w:lineRule="auto" w:before="180" w:after="60"/>
        <w:jc w:val="both"/>
      </w:pPr>
      <w:r>
        <w:rPr>
          <w:rFonts w:ascii="Times New Roman" w:hAnsi="Times New Roman" w:cs="Times New Roman" w:eastAsia="Times New Roman"/>
          <w:b/>
          <w:i w:val="0"/>
          <w:color w:val="1F3B57"/>
          <w:sz w:val="20"/>
        </w:rPr>
        <w:t xml:space="preserve">P58. </w:t>
      </w:r>
      <w:r>
        <w:rPr>
          <w:rFonts w:ascii="Times New Roman" w:hAnsi="Times New Roman" w:cs="Times New Roman" w:eastAsia="Times New Roman"/>
          <w:b/>
          <w:i w:val="0"/>
          <w:sz w:val="20"/>
        </w:rPr>
        <w:t>O seu protocolo não tem secção de limitações. Quais são as limitações deste estudo?</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Ausência real e verificável. A pergunta é quase certa e a resposta define a impressão global que deixa.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não vê limitações, ou enumerar limitações genéricas de manual.</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não tem essa secção e é uma omissão que vou corrigir. As limitações que identifico são seis. Primeira, o desenho transversal não permite inferência causal nem estabelece temporalidade. Segunda, a desejabilidade social tenderá a sobrestimar as práticas adequadas, sobretudo nos itens de higiene facial e no recurso a medicina tradicional. Terceira, a amostragem numa só comunidade limita a generalização ao distrito. Quarta, os pontos de corte de Bloom são arbitrários e não validados nesta população. Quinta, o poder é suficiente para detectar razões de possibilidades a partir de 2,0, mas não efeitos mais modestos. Sexta, a aplicação em Emakhuwa introduz variabilidade de tradução, que mitigo com a adaptação transcultural formal.</w:t>
      </w:r>
    </w:p>
    <w:p>
      <w:pPr>
        <w:spacing w:line="276" w:lineRule="auto" w:before="180" w:after="60"/>
        <w:jc w:val="both"/>
      </w:pPr>
      <w:r>
        <w:rPr>
          <w:rFonts w:ascii="Times New Roman" w:hAnsi="Times New Roman" w:cs="Times New Roman" w:eastAsia="Times New Roman"/>
          <w:b/>
          <w:i w:val="0"/>
          <w:color w:val="1F3B57"/>
          <w:sz w:val="20"/>
        </w:rPr>
        <w:t xml:space="preserve">P59. </w:t>
      </w:r>
      <w:r>
        <w:rPr>
          <w:rFonts w:ascii="Times New Roman" w:hAnsi="Times New Roman" w:cs="Times New Roman" w:eastAsia="Times New Roman"/>
          <w:b/>
          <w:i w:val="0"/>
          <w:sz w:val="20"/>
        </w:rPr>
        <w:t>Como controla a desejabilidade social num inquérito em que pergunta a alguém se lava a cara todos os dias?</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É o viés dominante em inquéritos CAP e o protocolo não o menciona uma única vez.</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os participantes serão sinceros. Não serão, sistematicamente, e a literatura documenta-o.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se elimina, mitiga-se, e a direcção do enviesamento é conhecida: sobrestimação das práticas adequadas. As medidas que proponho são quatro: garantir e verbalizar o anonimato antes de começar, sublinhando que não há respostas certas nem erradas; formular as perguntas de modo neutro e não normativo; treinar os entrevistadores para não reagirem às respostas nem corrigirem o participante durante a entrevista; e recrutar entrevistadores da comunidade, mas nunca vizinhos directos dos agregados que entrevistam. Acrescento que a literatura sobre tracoma documenta especificamente a dificuldade de medir a limpeza facial por autorrelato — cito a referência 35 sobre isso — e vou declarar esta limitação de forma explícita.</w:t>
      </w:r>
    </w:p>
    <w:p>
      <w:pPr>
        <w:spacing w:line="276" w:lineRule="auto" w:before="180" w:after="60"/>
        <w:jc w:val="both"/>
      </w:pPr>
      <w:r>
        <w:rPr>
          <w:rFonts w:ascii="Times New Roman" w:hAnsi="Times New Roman" w:cs="Times New Roman" w:eastAsia="Times New Roman"/>
          <w:b/>
          <w:i w:val="0"/>
          <w:color w:val="1F3B57"/>
          <w:sz w:val="20"/>
        </w:rPr>
        <w:t xml:space="preserve">P60. </w:t>
      </w:r>
      <w:r>
        <w:rPr>
          <w:rFonts w:ascii="Times New Roman" w:hAnsi="Times New Roman" w:cs="Times New Roman" w:eastAsia="Times New Roman"/>
          <w:b/>
          <w:i w:val="0"/>
          <w:sz w:val="20"/>
        </w:rPr>
        <w:t>Que taxa de não-resposta espera e o que faz se for muito superior?</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não menciona não-resposta em parte alguma. É um risco de exequibilidade sem plano.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um número nem um plano de contingência.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Assumo 10 % no cálculo amostral, valor conservador para inquéritos comunitários face a face em meio rural, onde a recusa é rara mas a ausência do domicílio é frequente. O plano é: duas visitas de retorno por agregado antes de o classificar como não respondente; trabalho de campo também ao fim da tarde e ao fim-de-semana; registo em folha própria do sexo e da idade aproximada de todos os recusantes, para permitir comparar respondentes e não respondentes. Se a taxa ultrapassar os 20 %, recorro a conglomerados de substituição pré-designados no protocolo, documentando o procedimento, e declaro o desvio nos resultados.</w:t>
      </w:r>
    </w:p>
    <w:p>
      <w:pPr>
        <w:spacing w:line="276" w:lineRule="auto" w:before="180" w:after="60"/>
        <w:jc w:val="both"/>
      </w:pPr>
      <w:r>
        <w:rPr>
          <w:rFonts w:ascii="Times New Roman" w:hAnsi="Times New Roman" w:cs="Times New Roman" w:eastAsia="Times New Roman"/>
          <w:b/>
          <w:i w:val="0"/>
          <w:color w:val="1F3B57"/>
          <w:sz w:val="20"/>
        </w:rPr>
        <w:t xml:space="preserve">P61. </w:t>
      </w:r>
      <w:r>
        <w:rPr>
          <w:rFonts w:ascii="Times New Roman" w:hAnsi="Times New Roman" w:cs="Times New Roman" w:eastAsia="Times New Roman"/>
          <w:b/>
          <w:i w:val="0"/>
          <w:sz w:val="20"/>
        </w:rPr>
        <w:t>Como impede que o efeito de entrevistador se confunda com o efeito de conglomerado?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técnica fina sobre desenho de campo. Se cada entrevistador cobrir conglomerados distintos, os dois efeitos tornam-se inseparáveis.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pensado na atribuição dos entrevistadores aos conglomerados.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Rodando os entrevistadores pelos conglomerados, de modo a que nenhum conglomerado seja coberto por um só entrevistador e nenhum entrevistador cubra apenas um conglomerado. Registo ainda o código do entrevistador em cada questionário, o que me permite testar posteriormente se existe efeito de entrevistador e ajustá-lo, se necessário. Sem esta rotação, os dois efeitos ficariam completamente confundidos e não seria possível separá-los na análise.</w:t>
      </w:r>
    </w:p>
    <w:p>
      <w:pPr>
        <w:spacing w:line="276" w:lineRule="auto" w:before="280" w:after="120"/>
        <w:jc w:val="left"/>
      </w:pPr>
      <w:r>
        <w:rPr>
          <w:rFonts w:ascii="Times New Roman" w:hAnsi="Times New Roman" w:cs="Times New Roman" w:eastAsia="Times New Roman"/>
          <w:b/>
          <w:i w:val="0"/>
          <w:color w:val="1F3B57"/>
          <w:sz w:val="26"/>
        </w:rPr>
        <w:t>Bloco 11. Ética</w:t>
      </w:r>
    </w:p>
    <w:p>
      <w:pPr>
        <w:spacing w:line="276" w:lineRule="auto" w:before="180" w:after="60"/>
        <w:jc w:val="both"/>
      </w:pPr>
      <w:r>
        <w:rPr>
          <w:rFonts w:ascii="Times New Roman" w:hAnsi="Times New Roman" w:cs="Times New Roman" w:eastAsia="Times New Roman"/>
          <w:b/>
          <w:i w:val="0"/>
          <w:color w:val="1F3B57"/>
          <w:sz w:val="20"/>
        </w:rPr>
        <w:t xml:space="preserve">P62. </w:t>
      </w:r>
      <w:r>
        <w:rPr>
          <w:rFonts w:ascii="Times New Roman" w:hAnsi="Times New Roman" w:cs="Times New Roman" w:eastAsia="Times New Roman"/>
          <w:b/>
          <w:i w:val="0"/>
          <w:sz w:val="20"/>
        </w:rPr>
        <w:t>Afirma que «o estudo não comporta riscos previsíveis». Nenhum comité de ética aceita risco zero. Quais são os riscos?</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Formulação que o comité vai devolver. Testa maturidade ética.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Insistir em que não há riscos.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formulação é excessiva e vou substituí-la por «riscos mínimos». Os riscos reais são dois: desconforto psicológico ao responder sobre saúde e práticas pessoais, sobretudo em itens que podem ser lidos como julgamento do comportamento, como o recurso a medicina tradicional; e risco residual de quebra de confidencialidade, mitigado pela codificação dos questionários e pela ausência de qualquer identificador nominal. Acrescento um terceiro, de natureza distinta: o risco de criar expectativa de tratamento na comunidade, que mitigo explicando com clareza que o estudo não presta cuidados, embora referencie quem apresente queixas.</w:t>
      </w:r>
    </w:p>
    <w:p>
      <w:pPr>
        <w:spacing w:line="276" w:lineRule="auto" w:before="180" w:after="60"/>
        <w:jc w:val="both"/>
      </w:pPr>
      <w:r>
        <w:rPr>
          <w:rFonts w:ascii="Times New Roman" w:hAnsi="Times New Roman" w:cs="Times New Roman" w:eastAsia="Times New Roman"/>
          <w:b/>
          <w:i w:val="0"/>
          <w:color w:val="1F3B57"/>
          <w:sz w:val="20"/>
        </w:rPr>
        <w:t xml:space="preserve">P63. </w:t>
      </w:r>
      <w:r>
        <w:rPr>
          <w:rFonts w:ascii="Times New Roman" w:hAnsi="Times New Roman" w:cs="Times New Roman" w:eastAsia="Times New Roman"/>
          <w:b/>
          <w:i w:val="0"/>
          <w:sz w:val="20"/>
        </w:rPr>
        <w:t>Compromete-se a referenciar os participantes com queixas oculares. Para onde, com que critério e quem paga o transporte?</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Compromisso ético que o protocolo assume sem operacionalizar. Um comité atento vai exigir os detalhes.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Ter feito a promessa sem plano. É pior do que não a fazer.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assume o compromisso sem o operacionalizar, e reconheço-o. Vou especificar três coisas: a unidade sanitária concreta e um acordo prévio escrito com o Serviço Distrital de Saúde; o critério clínico que despoleta a referenciação, que proponho ser a presença de queixa visual referida, de dor ocular ou de visão turva declarada; e a forma da referenciação, por guia escrita entregue ao participante. Quanto ao transporte, tem razão em levantá-lo: vou acrescentar uma rubrica ao orçamento para apoio ao transporte dos casos referenciados, porque um compromisso de referenciação sem meios é um compromisso que não se cumpre.</w:t>
      </w:r>
    </w:p>
    <w:p>
      <w:pPr>
        <w:spacing w:line="276" w:lineRule="auto" w:before="180" w:after="60"/>
        <w:jc w:val="both"/>
      </w:pPr>
      <w:r>
        <w:rPr>
          <w:rFonts w:ascii="Times New Roman" w:hAnsi="Times New Roman" w:cs="Times New Roman" w:eastAsia="Times New Roman"/>
          <w:b/>
          <w:i w:val="0"/>
          <w:color w:val="1F3B57"/>
          <w:sz w:val="20"/>
        </w:rPr>
        <w:t xml:space="preserve">P64. </w:t>
      </w:r>
      <w:r>
        <w:rPr>
          <w:rFonts w:ascii="Times New Roman" w:hAnsi="Times New Roman" w:cs="Times New Roman" w:eastAsia="Times New Roman"/>
          <w:b/>
          <w:i w:val="0"/>
          <w:sz w:val="20"/>
        </w:rPr>
        <w:t>O consentimento será obtido por impressão digital, com testemunha. Quem pode ser essa testemunha?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Detalhe processual que o comité verifica sempre.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que pode ser um membro da equipa. Não pode: a testemunha existe precisamente para ser independente.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Tem de ser uma pessoa imparcial, maior de idade, alfabetizada, que não pertença à equipa de investigação e que não tenha interesse no estudo — pode ser um familiar do participante ou um vizinho por ele escolhido. A função da testemunha é atestar que a folha de informação foi integralmente lida em voz alta, em Emakhuwa, que o participante compreendeu e que consentiu livremente. Vou explicitar este critério no protocolo, porque o Apêndice C prevê a assinatura da testemunha mas não define quem pode sê-lo.</w:t>
      </w:r>
    </w:p>
    <w:p>
      <w:pPr>
        <w:spacing w:line="276" w:lineRule="auto" w:before="180" w:after="60"/>
        <w:jc w:val="both"/>
      </w:pPr>
      <w:r>
        <w:rPr>
          <w:rFonts w:ascii="Times New Roman" w:hAnsi="Times New Roman" w:cs="Times New Roman" w:eastAsia="Times New Roman"/>
          <w:b/>
          <w:i w:val="0"/>
          <w:color w:val="1F3B57"/>
          <w:sz w:val="20"/>
        </w:rPr>
        <w:t xml:space="preserve">P65. </w:t>
      </w:r>
      <w:r>
        <w:rPr>
          <w:rFonts w:ascii="Times New Roman" w:hAnsi="Times New Roman" w:cs="Times New Roman" w:eastAsia="Times New Roman"/>
          <w:b/>
          <w:i w:val="0"/>
          <w:sz w:val="20"/>
        </w:rPr>
        <w:t>Onde ficam guardados os dados, durante quanto tempo e quem lhes tem acesso?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Plano de gestão de dados. O protocolo diz apenas «de forma segura, com acesso restrito», o que é insuficiente para um comité.</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Repetir a formulação genérica do protocolo.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é genérico neste ponto e vou detalhá-lo. Os questionários em papel ficam em armário fechado nas instalações da Faculdade de Ciências de Saúde, com acesso restrito a mim e ao orientador. A base de dados electrónica fica em ficheiro protegido por palavra-passe, com cópia de segurança cifrada. A conservação é de cinco anos após a conclusão do estudo, prazo habitual para permitir verificação, findo o qual os questionários em papel são destruídos por trituração e os ficheiros eliminados de forma segura. Vou acrescentar esta informação também à folha de informação ao participante.</w:t>
      </w:r>
    </w:p>
    <w:p>
      <w:pPr>
        <w:spacing w:line="276" w:lineRule="auto" w:before="180" w:after="60"/>
        <w:jc w:val="both"/>
      </w:pPr>
      <w:r>
        <w:rPr>
          <w:rFonts w:ascii="Times New Roman" w:hAnsi="Times New Roman" w:cs="Times New Roman" w:eastAsia="Times New Roman"/>
          <w:b/>
          <w:i w:val="0"/>
          <w:color w:val="1F3B57"/>
          <w:sz w:val="20"/>
        </w:rPr>
        <w:t xml:space="preserve">P66. </w:t>
      </w:r>
      <w:r>
        <w:rPr>
          <w:rFonts w:ascii="Times New Roman" w:hAnsi="Times New Roman" w:cs="Times New Roman" w:eastAsia="Times New Roman"/>
          <w:b/>
          <w:i w:val="0"/>
          <w:sz w:val="20"/>
        </w:rPr>
        <w:t>Se um participante desistir a meio, o que acontece aos dados já recolhidos?</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Direito de retirada. A folha de informação prevê a interrupção mas não diz o destino dos dados.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posição definida.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folha de informação prevê a interrupção mas não especifica o destino dos dados, e é uma lacuna. A posição que vou adoptar é a mais protectora do participante: se desistir durante a entrevista, o questionário parcial é destruído e não entra na base de dados; se desistir depois, pode solicitar a eliminação dos seus dados até ao momento da anonimização definitiva, após o qual deixa de ser tecnicamente possível identificá-los. Vou escrever isto na folha de informação.</w:t>
      </w:r>
    </w:p>
    <w:p>
      <w:pPr>
        <w:spacing w:line="276" w:lineRule="auto" w:before="180" w:after="60"/>
        <w:jc w:val="both"/>
      </w:pPr>
      <w:r>
        <w:rPr>
          <w:rFonts w:ascii="Times New Roman" w:hAnsi="Times New Roman" w:cs="Times New Roman" w:eastAsia="Times New Roman"/>
          <w:b/>
          <w:i w:val="0"/>
          <w:color w:val="1F3B57"/>
          <w:sz w:val="20"/>
        </w:rPr>
        <w:t xml:space="preserve">P67. </w:t>
      </w:r>
      <w:r>
        <w:rPr>
          <w:rFonts w:ascii="Times New Roman" w:hAnsi="Times New Roman" w:cs="Times New Roman" w:eastAsia="Times New Roman"/>
          <w:b/>
          <w:i w:val="0"/>
          <w:sz w:val="20"/>
        </w:rPr>
        <w:t>Faz o pré-teste antes ou depois da aprovação ética? O seu cronograma coloca ambos no mesmo trimestre.</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Incoerência real do cronograma com consequência ética directa.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o pré-teste «não conta» como investigação com seres humanos. Conta.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cronograma tem essa sobreposição e é uma incoerência que corrijo. O pré-teste envolve seres humanos e obtenção de consentimento, e portanto não pode preceder o parecer favorável. Vou deslocá-lo para depois da aprovação, incluindo-o expressamente no protocolo submetido, para que a aprovação o cubra. Nenhum contacto com participantes ocorrerá antes do parecer e do respectivo número de referência.</w:t>
      </w:r>
    </w:p>
    <w:p>
      <w:pPr>
        <w:spacing w:line="276" w:lineRule="auto" w:before="180" w:after="60"/>
        <w:jc w:val="both"/>
      </w:pPr>
      <w:r>
        <w:rPr>
          <w:rFonts w:ascii="Times New Roman" w:hAnsi="Times New Roman" w:cs="Times New Roman" w:eastAsia="Times New Roman"/>
          <w:b/>
          <w:i w:val="0"/>
          <w:color w:val="1F3B57"/>
          <w:sz w:val="20"/>
        </w:rPr>
        <w:t xml:space="preserve">P68. </w:t>
      </w:r>
      <w:r>
        <w:rPr>
          <w:rFonts w:ascii="Times New Roman" w:hAnsi="Times New Roman" w:cs="Times New Roman" w:eastAsia="Times New Roman"/>
          <w:b/>
          <w:i w:val="0"/>
          <w:sz w:val="20"/>
        </w:rPr>
        <w:t>Prevê assentimento dos líderes comunitários. O assentimento do régulo substitui o consentimento individual?</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a compreensão da hierarquia do consentimento em contextos comunitários — questão ética sensível.</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Sugerir que a autorização comunitária basta. Nunca basta.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substitui em circunstância alguma. O assentimento do líder comunitário é uma condição de entrada culturalmente adequada e respeitosa, e sem ele o trabalho de campo não é viável, mas é um consentimento colectivo de acesso, não individual de participação. Cada participante consente individualmente, por assinatura ou impressão digital, e pode recusar mesmo depois de o líder ter autorizado o estudo na comunidade. Vou explicitar essa distinção no protocolo, porque a formulação actual pode ser lida como ambígua.</w:t>
      </w:r>
    </w:p>
    <w:p>
      <w:pPr>
        <w:spacing w:line="276" w:lineRule="auto" w:before="180" w:after="60"/>
        <w:jc w:val="both"/>
      </w:pPr>
      <w:r>
        <w:rPr>
          <w:rFonts w:ascii="Times New Roman" w:hAnsi="Times New Roman" w:cs="Times New Roman" w:eastAsia="Times New Roman"/>
          <w:b/>
          <w:i w:val="0"/>
          <w:color w:val="1F3B57"/>
          <w:sz w:val="20"/>
        </w:rPr>
        <w:t xml:space="preserve">P69. </w:t>
      </w:r>
      <w:r>
        <w:rPr>
          <w:rFonts w:ascii="Times New Roman" w:hAnsi="Times New Roman" w:cs="Times New Roman" w:eastAsia="Times New Roman"/>
          <w:b/>
          <w:i w:val="0"/>
          <w:sz w:val="20"/>
        </w:rPr>
        <w:t>O estudo não oferece compensação. Numa população pobre, pedir vinte minutos sem nada em troca é eticamente neutro?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Questão de justiça distributiva. Comités mais exigentes levantam-na.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Ignorar a questão ou tratá-la como irrelevante.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é neutro e a questão é legítima. Vinte minutos de uma pessoa que vive de agricultura de subsistência têm custo de oportunidade real. A posição do protocolo — não pagar — assenta em evitar a indução indevida à participação, que é um princípio ético reconhecido, mas reconheço que a ausência total de reconhecimento é discutível. Duas alternativas que aceito discutir: um reembolso simbólico de tempo, ou um benefício colectivo, como uma sessão de educação para a saúde ocular na comunidade após a recolha, que é a via que prefiro por não interferir com a voluntariedade individual e por devolver algo à comunidade.</w:t>
      </w:r>
    </w:p>
    <w:p>
      <w:pPr>
        <w:spacing w:line="276" w:lineRule="auto" w:before="180" w:after="60"/>
        <w:jc w:val="both"/>
      </w:pPr>
      <w:r>
        <w:rPr>
          <w:rFonts w:ascii="Times New Roman" w:hAnsi="Times New Roman" w:cs="Times New Roman" w:eastAsia="Times New Roman"/>
          <w:b/>
          <w:i w:val="0"/>
          <w:color w:val="1F3B57"/>
          <w:sz w:val="20"/>
        </w:rPr>
        <w:t xml:space="preserve">P70. </w:t>
      </w:r>
      <w:r>
        <w:rPr>
          <w:rFonts w:ascii="Times New Roman" w:hAnsi="Times New Roman" w:cs="Times New Roman" w:eastAsia="Times New Roman"/>
          <w:b/>
          <w:i w:val="0"/>
          <w:sz w:val="20"/>
        </w:rPr>
        <w:t>Como devolve os resultados à comunidade que estudou?</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Restituição. O protocolo prevê divulgação académica e institucional, mas não devolução à comunidade.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apenas com a publicação científica.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secção de divulgação prevê a defesa pública, a publicação em revista e a apresentação em congressos, mas não prevê a devolução à comunidade, e é uma lacuna que vou corrigir. Comprometo-me com uma sessão de restituição na própria comunidade, com os líderes e os participantes que quiserem estar presentes, em linguagem acessível e em Emakhuwa, e com a entrega de um resumo escrito ao Serviço Distrital de Saúde de Monapo. Vou datar essa sessão no cronograma, porque um compromisso sem data no cronograma não se cumpre.</w:t>
      </w:r>
    </w:p>
    <w:p>
      <w:pPr>
        <w:spacing w:line="276" w:lineRule="auto" w:before="280" w:after="120"/>
        <w:jc w:val="left"/>
      </w:pPr>
      <w:r>
        <w:rPr>
          <w:rFonts w:ascii="Times New Roman" w:hAnsi="Times New Roman" w:cs="Times New Roman" w:eastAsia="Times New Roman"/>
          <w:b/>
          <w:i w:val="0"/>
          <w:color w:val="1F3B57"/>
          <w:sz w:val="26"/>
        </w:rPr>
        <w:t>Bloco 12. Exequibilidade, cronograma e orçamento</w:t>
      </w:r>
    </w:p>
    <w:p>
      <w:pPr>
        <w:spacing w:line="276" w:lineRule="auto" w:before="180" w:after="60"/>
        <w:jc w:val="both"/>
      </w:pPr>
      <w:r>
        <w:rPr>
          <w:rFonts w:ascii="Times New Roman" w:hAnsi="Times New Roman" w:cs="Times New Roman" w:eastAsia="Times New Roman"/>
          <w:b/>
          <w:i w:val="0"/>
          <w:color w:val="1F3B57"/>
          <w:sz w:val="20"/>
        </w:rPr>
        <w:t xml:space="preserve">P71. </w:t>
      </w:r>
      <w:r>
        <w:rPr>
          <w:rFonts w:ascii="Times New Roman" w:hAnsi="Times New Roman" w:cs="Times New Roman" w:eastAsia="Times New Roman"/>
          <w:b/>
          <w:i w:val="0"/>
          <w:sz w:val="20"/>
        </w:rPr>
        <w:t>Quem paga os 125.000 MZN?</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orçamento não identifica qualquer fonte de financiamento. É a primeira pergunta de qualquer avaliação de exequibilidade.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ter resposta. Um orçamento sem fonte é uma lista de desejos.</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protocolo não identifica a fonte e é uma omissão que vou corrigir de forma explícita, indicando a repartição entre financiamento próprio, eventual apoio da Faculdade e eventual apoio dos serviços distritais de saúde em transporte e alojamento. Tenho também um plano de redução de custos preparado: substituir o SPSS por R ou Jamovi elimina 5.000 MZN; a recolha electrónica em telemóvel com KoboToolbox elimina os 21.000 MZN de impressão; e a redução para três entrevistadores, com alargamento do período de campo, poupa 12.000 MZN em honorários. Com essas medidas o orçamento desce substancialmente sem comprometer o desenho.</w:t>
      </w:r>
    </w:p>
    <w:p>
      <w:pPr>
        <w:spacing w:line="276" w:lineRule="auto" w:before="180" w:after="60"/>
        <w:jc w:val="both"/>
      </w:pPr>
      <w:r>
        <w:rPr>
          <w:rFonts w:ascii="Times New Roman" w:hAnsi="Times New Roman" w:cs="Times New Roman" w:eastAsia="Times New Roman"/>
          <w:b/>
          <w:i w:val="0"/>
          <w:color w:val="1F3B57"/>
          <w:sz w:val="20"/>
        </w:rPr>
        <w:t xml:space="preserve">P72. </w:t>
      </w:r>
      <w:r>
        <w:rPr>
          <w:rFonts w:ascii="Times New Roman" w:hAnsi="Times New Roman" w:cs="Times New Roman" w:eastAsia="Times New Roman"/>
          <w:b/>
          <w:i w:val="0"/>
          <w:sz w:val="20"/>
        </w:rPr>
        <w:t>Orçamenta 700 questionários. Porquê 700, se não declara o tamanho da amostra?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Demonstra que o orçamento foi construído a partir de um n que existiu em algum momento e que não chegou ao texto. É uma pergunta cirúrgica.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Improvisar. A incoerência é real e visível.</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Os 700 questionários correspondem à amostra de 650 mais uma margem de cerca de 8 % para exemplares inutilizados. É a prova de que o cálculo amostral existiu na construção do orçamento e não chegou ao texto da secção 7.4, que ficou truncada na fórmula. Vou completar essa secção, e o orçamento passa a estar formalmente fundamentado no n declarado, como deve ser.</w:t>
      </w:r>
    </w:p>
    <w:p>
      <w:pPr>
        <w:spacing w:line="276" w:lineRule="auto" w:before="180" w:after="60"/>
        <w:jc w:val="both"/>
      </w:pPr>
      <w:r>
        <w:rPr>
          <w:rFonts w:ascii="Times New Roman" w:hAnsi="Times New Roman" w:cs="Times New Roman" w:eastAsia="Times New Roman"/>
          <w:b/>
          <w:i w:val="0"/>
          <w:color w:val="1F3B57"/>
          <w:sz w:val="20"/>
        </w:rPr>
        <w:t xml:space="preserve">P73. </w:t>
      </w:r>
      <w:r>
        <w:rPr>
          <w:rFonts w:ascii="Times New Roman" w:hAnsi="Times New Roman" w:cs="Times New Roman" w:eastAsia="Times New Roman"/>
          <w:b/>
          <w:i w:val="0"/>
          <w:sz w:val="20"/>
        </w:rPr>
        <w:t>Quantas entrevistas por dia terá de fazer cada entrevistador?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Teste clássico de exequibilidade. Obriga a cruzar n, equipa e dias de campo — três números que o protocolo nunca cruza.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saber fazer a conta na hora.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Com 650 entrevistas, quatro entrevistadores e os 20 dias de campo que o orçamento comporta, são 8,1 entrevistas por dia e por entrevistador. Com entrevistas de 15 a 20 minutos, são cerca de duas horas e meia de entrevista efectiva por dia; o resto do tempo é deslocação entre agregados, agregados fechados, visitas de retorno e explicação do consentimento. É exequível, mas sem folga. Prefiro alargar o campo para 26 dias, baixando para 6,3 entrevistas por dia, ou acrescentar um quinto entrevistador, baixando para 6,5 — e vou ajustar o orçamento em conformidade.</w:t>
      </w:r>
    </w:p>
    <w:p>
      <w:pPr>
        <w:spacing w:line="276" w:lineRule="auto" w:before="180" w:after="60"/>
        <w:jc w:val="both"/>
      </w:pPr>
      <w:r>
        <w:rPr>
          <w:rFonts w:ascii="Times New Roman" w:hAnsi="Times New Roman" w:cs="Times New Roman" w:eastAsia="Times New Roman"/>
          <w:b/>
          <w:i w:val="0"/>
          <w:color w:val="1F3B57"/>
          <w:sz w:val="20"/>
        </w:rPr>
        <w:t xml:space="preserve">P74. </w:t>
      </w:r>
      <w:r>
        <w:rPr>
          <w:rFonts w:ascii="Times New Roman" w:hAnsi="Times New Roman" w:cs="Times New Roman" w:eastAsia="Times New Roman"/>
          <w:b/>
          <w:i w:val="0"/>
          <w:sz w:val="20"/>
        </w:rPr>
        <w:t>A rubrica de alimentação prevê 500 MZN por dia. Para quantas pessoas?</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Verificação aritmética de realismo. Uma rubrica manifestamente subestimada põe em causa a credibilidade de todo o orçamento.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o valor.</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Para uma equipa de cinco pessoas, o que dá 100 MZN por pessoa e por dia. Reconheço que é irrealista. O valor razoável no contexto local situa-se entre 250 e 300 MZN por pessoa e por dia, o que eleva a rubrica dos 10.000 para 25.000 a 30.000 MZN. Somando as rubricas em falta — tradução e retroversão, formação dos entrevistadores, transporte de referenciação e contingência de 10 % — o orçamento realista situa-se entre 170.000 e 180.000 MZN, e é esse valor que vou apresentar corrigido.</w:t>
      </w:r>
    </w:p>
    <w:p>
      <w:pPr>
        <w:spacing w:line="276" w:lineRule="auto" w:before="180" w:after="60"/>
        <w:jc w:val="both"/>
      </w:pPr>
      <w:r>
        <w:rPr>
          <w:rFonts w:ascii="Times New Roman" w:hAnsi="Times New Roman" w:cs="Times New Roman" w:eastAsia="Times New Roman"/>
          <w:b/>
          <w:i w:val="0"/>
          <w:color w:val="1F3B57"/>
          <w:sz w:val="20"/>
        </w:rPr>
        <w:t xml:space="preserve">P75. </w:t>
      </w:r>
      <w:r>
        <w:rPr>
          <w:rFonts w:ascii="Times New Roman" w:hAnsi="Times New Roman" w:cs="Times New Roman" w:eastAsia="Times New Roman"/>
          <w:b/>
          <w:i w:val="0"/>
          <w:sz w:val="20"/>
        </w:rPr>
        <w:t>Prevê recolha entre Abril e Setembro de 2027. Conhece as condições de acesso rural em Monapo nessa época?</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Conhecimento concreto do terreno. Distingue quem visitou a área de quem a descreveu a partir de documentos.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de forma vaga sobre o clima.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Abril ainda é fim de época chuvosa no norte de Moçambique, com estradas rurais degradadas e atravessamentos difíceis. A janela realista de campo é entre Maio e Agosto, e é aí que vou concentrar as deslocações, mantendo a janela alargada de Abril a Setembro como margem de segurança. Vou também identificar, entre os conglomerados sorteados, os de acesso mais difícil, para os visitar primeiro e não os deixar para o fim.</w:t>
      </w:r>
    </w:p>
    <w:p>
      <w:pPr>
        <w:spacing w:line="276" w:lineRule="auto" w:before="180" w:after="60"/>
        <w:jc w:val="both"/>
      </w:pPr>
      <w:r>
        <w:rPr>
          <w:rFonts w:ascii="Times New Roman" w:hAnsi="Times New Roman" w:cs="Times New Roman" w:eastAsia="Times New Roman"/>
          <w:b/>
          <w:i w:val="0"/>
          <w:color w:val="1F3B57"/>
          <w:sz w:val="20"/>
        </w:rPr>
        <w:t xml:space="preserve">P76. </w:t>
      </w:r>
      <w:r>
        <w:rPr>
          <w:rFonts w:ascii="Times New Roman" w:hAnsi="Times New Roman" w:cs="Times New Roman" w:eastAsia="Times New Roman"/>
          <w:b/>
          <w:i w:val="0"/>
          <w:sz w:val="20"/>
        </w:rPr>
        <w:t>O cronograma prevê análise de dados no mesmo trimestre da recolha. Vai analisar antes de terminar de recolher?</w:t>
      </w:r>
      <w:r>
        <w:rPr>
          <w:rFonts w:ascii="Times New Roman" w:hAnsi="Times New Roman" w:cs="Times New Roman" w:eastAsia="Times New Roman"/>
          <w:b/>
          <w:i w:val="0"/>
          <w:color w:val="1E6B3A"/>
          <w:sz w:val="17"/>
        </w:rPr>
        <w:t xml:space="preserve">   [risco baixo]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Sobreposição no cronograma que pode indicar análise interina não planeada.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sim. Análise interina não planeada num estudo observacional é problemática.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A sobreposição corresponde à introdução e limpeza contínua dos dados durante o trabalho de campo, o que é boa prática porque permite detectar erros de preenchimento enquanto ainda é possível corrigi-los. A análise estatística propriamente dita só começa depois de encerrada a base de dados. Vou distinguir as duas actividades no cronograma, para eliminar a ambiguidade.</w:t>
      </w:r>
    </w:p>
    <w:p>
      <w:pPr>
        <w:spacing w:line="276" w:lineRule="auto" w:before="180" w:after="60"/>
        <w:jc w:val="both"/>
      </w:pPr>
      <w:r>
        <w:rPr>
          <w:rFonts w:ascii="Times New Roman" w:hAnsi="Times New Roman" w:cs="Times New Roman" w:eastAsia="Times New Roman"/>
          <w:b/>
          <w:i w:val="0"/>
          <w:color w:val="1F3B57"/>
          <w:sz w:val="20"/>
        </w:rPr>
        <w:t xml:space="preserve">P77. </w:t>
      </w:r>
      <w:r>
        <w:rPr>
          <w:rFonts w:ascii="Times New Roman" w:hAnsi="Times New Roman" w:cs="Times New Roman" w:eastAsia="Times New Roman"/>
          <w:b/>
          <w:i w:val="0"/>
          <w:sz w:val="20"/>
        </w:rPr>
        <w:t>O que faz se a fiabilidade do instrumento ficar abaixo de 0,70 no pré-teste?</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Cenário provável com sete e seis itens. O protocolo fixa o limiar mas não prevê o que fazer se não for atingido.</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aceitará um valor mais baixo. É a resposta que revela que o limiar era decorativo.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avanço para o campo com um instrumento não fiável. O procedimento é: analisar a correlação item-total de cada item, identificar os que reduzem o alfa, reformulá-los ou eliminá-los, e repetir o pré-teste. É também por isso que quero alargar a secção de conhecimento para doze a quinze itens: a consistência interna aumenta com o número de itens, e com sete o risco de ficar abaixo de 0,70 é real. Vou incluir este ciclo de revisão no cronograma, em vez de assumir que não será necessário.</w:t>
      </w:r>
    </w:p>
    <w:p>
      <w:pPr>
        <w:spacing w:line="276" w:lineRule="auto" w:before="180" w:after="60"/>
        <w:jc w:val="both"/>
      </w:pPr>
      <w:r>
        <w:rPr>
          <w:rFonts w:ascii="Times New Roman" w:hAnsi="Times New Roman" w:cs="Times New Roman" w:eastAsia="Times New Roman"/>
          <w:b/>
          <w:i w:val="0"/>
          <w:color w:val="1F3B57"/>
          <w:sz w:val="20"/>
        </w:rPr>
        <w:t xml:space="preserve">P78. </w:t>
      </w:r>
      <w:r>
        <w:rPr>
          <w:rFonts w:ascii="Times New Roman" w:hAnsi="Times New Roman" w:cs="Times New Roman" w:eastAsia="Times New Roman"/>
          <w:b/>
          <w:i w:val="0"/>
          <w:sz w:val="20"/>
        </w:rPr>
        <w:t>Quem é o seu orientador?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O protocolo diz «Orientador: Dr.» sem nome, e a Declaração do Orientador é um título sem texto. É a primeira coisa que qualquer avaliador nota.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Não haver resposta preparada para uma pergunta que não é sobre ciência mas sobre a seriedade da submissão.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Responda com o nome e o grau do orientador, e reconheça que a versão entregue tem o campo por preencher e a declaração por assinar, e que ambos estarão completos na versão a submeter ao comité. Não tente justificar: é um lapso de forma que se corrige numa hora e que não vale a pena discutir. Verifique igualmente o Abstract e o Índice, que são títulos sem conteúdo no documento actual.</w:t>
      </w:r>
    </w:p>
    <w:p>
      <w:r>
        <w:br w:type="page"/>
      </w:r>
    </w:p>
    <w:p>
      <w:pPr>
        <w:spacing w:line="276" w:lineRule="auto" w:before="280" w:after="120"/>
        <w:jc w:val="left"/>
      </w:pPr>
      <w:r>
        <w:rPr>
          <w:rFonts w:ascii="Times New Roman" w:hAnsi="Times New Roman" w:cs="Times New Roman" w:eastAsia="Times New Roman"/>
          <w:b/>
          <w:i w:val="0"/>
          <w:color w:val="1F3B57"/>
          <w:sz w:val="26"/>
        </w:rPr>
        <w:t>Bloco 13. Armadilhas — perguntas que parecem simples e não são</w:t>
      </w:r>
    </w:p>
    <w:p>
      <w:pPr>
        <w:spacing w:line="276" w:lineRule="auto" w:before="180" w:after="60"/>
        <w:jc w:val="both"/>
      </w:pPr>
      <w:r>
        <w:rPr>
          <w:rFonts w:ascii="Times New Roman" w:hAnsi="Times New Roman" w:cs="Times New Roman" w:eastAsia="Times New Roman"/>
          <w:b/>
          <w:i w:val="0"/>
          <w:color w:val="1F3B57"/>
          <w:sz w:val="20"/>
        </w:rPr>
        <w:t xml:space="preserve">A1. </w:t>
      </w:r>
      <w:r>
        <w:rPr>
          <w:rFonts w:ascii="Times New Roman" w:hAnsi="Times New Roman" w:cs="Times New Roman" w:eastAsia="Times New Roman"/>
          <w:b/>
          <w:i w:val="0"/>
          <w:sz w:val="20"/>
        </w:rPr>
        <w:t>Em duas frases: o que é que o seu estudo vai concluir?</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Armadilha directa. Um protocolo não conclui nada — ainda não tem dados.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Descrever resultados esperados como se fossem conclusões antecipadas. Cai-se nisto com muita facilidade.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 estudo ainda não pode concluir nada, porque não foi realizado. O que posso dizer é o que se espera obter: uma estimativa da proporção de adultos com conhecimento bom, moderado e fraco sobre a prevenção da cegueira, o perfil das atitudes e das práticas, o mapa das barreiras referidas e a identificação dos factores associados às práticas adequadas. Se os resultados forem outros que não os que a literatura sugere, isso é em si mesmo um achado relevante.»</w:t>
      </w:r>
    </w:p>
    <w:p>
      <w:pPr>
        <w:spacing w:line="276" w:lineRule="auto" w:before="180" w:after="60"/>
        <w:jc w:val="both"/>
      </w:pPr>
      <w:r>
        <w:rPr>
          <w:rFonts w:ascii="Times New Roman" w:hAnsi="Times New Roman" w:cs="Times New Roman" w:eastAsia="Times New Roman"/>
          <w:b/>
          <w:i w:val="0"/>
          <w:color w:val="1F3B57"/>
          <w:sz w:val="20"/>
        </w:rPr>
        <w:t xml:space="preserve">A2. </w:t>
      </w:r>
      <w:r>
        <w:rPr>
          <w:rFonts w:ascii="Times New Roman" w:hAnsi="Times New Roman" w:cs="Times New Roman" w:eastAsia="Times New Roman"/>
          <w:b/>
          <w:i w:val="0"/>
          <w:sz w:val="20"/>
        </w:rPr>
        <w:t>Se descobrir que o conhecimento não se associa às práticas, o estudo falhou?</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compreende que um resultado nulo é um resultado, e se não está emocionalmente comprometido com uma expectativa.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isso não vai acontecer, ou que seria um problema.</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Seria um achado importante, e alinhado com a crítica ao modelo CAP: significaria que, nesta comunidade, o obstáculo não é a informação mas as barreiras estruturais — custo, distância, ausência de serviço. Isso mudaria completamente a recomendação de política, de investir em educação para investir em acesso. Um estudo que orienta correctamente o investimento não falha por o resultado não ser o esperado.»</w:t>
      </w:r>
    </w:p>
    <w:p>
      <w:pPr>
        <w:spacing w:line="276" w:lineRule="auto" w:before="180" w:after="60"/>
        <w:jc w:val="both"/>
      </w:pPr>
      <w:r>
        <w:rPr>
          <w:rFonts w:ascii="Times New Roman" w:hAnsi="Times New Roman" w:cs="Times New Roman" w:eastAsia="Times New Roman"/>
          <w:b/>
          <w:i w:val="0"/>
          <w:color w:val="1F3B57"/>
          <w:sz w:val="20"/>
        </w:rPr>
        <w:t xml:space="preserve">A3. </w:t>
      </w:r>
      <w:r>
        <w:rPr>
          <w:rFonts w:ascii="Times New Roman" w:hAnsi="Times New Roman" w:cs="Times New Roman" w:eastAsia="Times New Roman"/>
          <w:b/>
          <w:i w:val="0"/>
          <w:sz w:val="20"/>
        </w:rPr>
        <w:t>Porque não fez amostragem aleatória simples, que é mais eficiente?</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sabe que a eficiência estatística não é o único critério e que a amostragem aleatória simples exige um enquadramento que não existe.</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a amostragem por conglomerados é «melhor». Não é: é menos eficiente estatisticamente, mas é a única exequível.</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amostragem aleatória simples é, de facto, mais eficiente — precisaria de 385 em vez de 650. Mas exige uma lista nominal de todos os residentes adultos da comunidade, que não existe e cuja construção seria mais cara do que o próprio estudo. Além disso, uma amostra aleatória simples dispersaria os participantes por toda a área, multiplicando o custo de deslocação. A amostragem por conglomerados troca eficiência estatística por exequibilidade, e essa troca é quantificada e compensada pelo efeito de desenho no cálculo amostral.»</w:t>
      </w:r>
    </w:p>
    <w:p>
      <w:pPr>
        <w:spacing w:line="276" w:lineRule="auto" w:before="180" w:after="60"/>
        <w:jc w:val="both"/>
      </w:pPr>
      <w:r>
        <w:rPr>
          <w:rFonts w:ascii="Times New Roman" w:hAnsi="Times New Roman" w:cs="Times New Roman" w:eastAsia="Times New Roman"/>
          <w:b/>
          <w:i w:val="0"/>
          <w:color w:val="1F3B57"/>
          <w:sz w:val="20"/>
        </w:rPr>
        <w:t xml:space="preserve">A4. </w:t>
      </w:r>
      <w:r>
        <w:rPr>
          <w:rFonts w:ascii="Times New Roman" w:hAnsi="Times New Roman" w:cs="Times New Roman" w:eastAsia="Times New Roman"/>
          <w:b/>
          <w:i w:val="0"/>
          <w:sz w:val="20"/>
        </w:rPr>
        <w:t>Se o comité de ética não aprovar, o que faz?</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Testa se tem plano de contingência e se compreende que a aprovação não é automática.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Dizer que vai ser aprovado. Ninguém sabe isso.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«Os comités raramente rejeitam liminarmente; pedem esclarecimentos ou alterações. O meu cronograma prevê sete meses para esta fase, precisamente para acomodar uma ou duas rondas de revisão. Se forem pedidas alterações, incorporo-as e ressubmeto. Em nenhuma circunstância inicio a recolha antes do parecer favorável e do respectivo número de referência.»</w:t>
      </w:r>
    </w:p>
    <w:p>
      <w:pPr>
        <w:spacing w:line="276" w:lineRule="auto" w:before="180" w:after="60"/>
        <w:jc w:val="both"/>
      </w:pPr>
      <w:r>
        <w:rPr>
          <w:rFonts w:ascii="Times New Roman" w:hAnsi="Times New Roman" w:cs="Times New Roman" w:eastAsia="Times New Roman"/>
          <w:b/>
          <w:i w:val="0"/>
          <w:color w:val="1F3B57"/>
          <w:sz w:val="20"/>
        </w:rPr>
        <w:t xml:space="preserve">A5. </w:t>
      </w:r>
      <w:r>
        <w:rPr>
          <w:rFonts w:ascii="Times New Roman" w:hAnsi="Times New Roman" w:cs="Times New Roman" w:eastAsia="Times New Roman"/>
          <w:b/>
          <w:i w:val="0"/>
          <w:sz w:val="20"/>
        </w:rPr>
        <w:t>Está a usar pontos de corte de Bloom, que foram criados para avaliação educacional, não para saúde pública. Isso é legítimo?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Armadilha erudita. Testa se sabe de onde vem o critério que usa ou se o copiou dos artigos etíopes.</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Defender que os cortes de Bloom têm validação em saúde. Não têm: são uma convenção adoptada por uso.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«É uma convenção, não um critério validado, e a origem é de facto educacional. Uso-a por uma razão concreta: é o critério dominante nos estudos com que quero comparar os meus resultados — Gebretnsae no Tigray, Xulu-Kasaba na África do Sul, Samuel em Arba Minch — e a comparabilidade tem valor. Mas reconheço a arbitrariedade, e por isso vou reportar também a pontuação contínua e fazer análise de sensibilidade com o corte na mediana da própria amostra.»</w:t>
      </w:r>
    </w:p>
    <w:p>
      <w:pPr>
        <w:spacing w:line="276" w:lineRule="auto" w:before="180" w:after="60"/>
        <w:jc w:val="both"/>
      </w:pPr>
      <w:r>
        <w:rPr>
          <w:rFonts w:ascii="Times New Roman" w:hAnsi="Times New Roman" w:cs="Times New Roman" w:eastAsia="Times New Roman"/>
          <w:b/>
          <w:i w:val="0"/>
          <w:color w:val="1F3B57"/>
          <w:sz w:val="20"/>
        </w:rPr>
        <w:t xml:space="preserve">A6. </w:t>
      </w:r>
      <w:r>
        <w:rPr>
          <w:rFonts w:ascii="Times New Roman" w:hAnsi="Times New Roman" w:cs="Times New Roman" w:eastAsia="Times New Roman"/>
          <w:b/>
          <w:i w:val="0"/>
          <w:sz w:val="20"/>
        </w:rPr>
        <w:t>Se lhe dessem o dobro do orçamento, o que mudava no protocolo?</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Revela quais são, na opinião do próprio autor, as fragilidades do desenho. É uma pergunta de autoconhecimento disfarçada.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Responder «aumentava a amostra». Revela que não identificou as fragilidades reais, que não são de dimensão.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«Não aumentava a amostra — 650 chega para os objectivos. Mudava três coisas. Primeira, acrescentava um componente qualitativo com grupos focais e entrevistas a praticantes de medicina tradicional, para explicar o que o inquérito apenas descreve. Segunda, incluía medição de acuidade visual, para cruzar a percepção subjectiva com a visão real. Terceira, estendia o estudo a duas ou três comunidades de perfis contrastantes dentro do distrito, o que alargaria substancialmente a validade externa.»</w:t>
      </w:r>
    </w:p>
    <w:p>
      <w:pPr>
        <w:spacing w:line="276" w:lineRule="auto" w:before="180" w:after="60"/>
        <w:jc w:val="both"/>
      </w:pPr>
      <w:r>
        <w:rPr>
          <w:rFonts w:ascii="Times New Roman" w:hAnsi="Times New Roman" w:cs="Times New Roman" w:eastAsia="Times New Roman"/>
          <w:b/>
          <w:i w:val="0"/>
          <w:color w:val="1F3B57"/>
          <w:sz w:val="20"/>
        </w:rPr>
        <w:t xml:space="preserve">A7. </w:t>
      </w:r>
      <w:r>
        <w:rPr>
          <w:rFonts w:ascii="Times New Roman" w:hAnsi="Times New Roman" w:cs="Times New Roman" w:eastAsia="Times New Roman"/>
          <w:b/>
          <w:i w:val="0"/>
          <w:sz w:val="20"/>
        </w:rPr>
        <w:t>Está a estudar uma comunidade que fala Emakhuwa. Fala Emakhuwa?</w:t>
      </w:r>
      <w:r>
        <w:rPr>
          <w:rFonts w:ascii="Times New Roman" w:hAnsi="Times New Roman" w:cs="Times New Roman" w:eastAsia="Times New Roman"/>
          <w:b/>
          <w:i w:val="0"/>
          <w:color w:val="B03028"/>
          <w:sz w:val="17"/>
        </w:rPr>
        <w:t xml:space="preserve">   [risco alto]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desarmante sobre competência cultural e linguística. Condiciona toda a exequibilidade da recolha.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Minimizar a questão. Se não falar, a dependência dos entrevistadores é total e tem de ter plano.</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Responda com verdade. Se falar, diga-o e sublinhe que supervisiona directamente a qualidade da tradução e da aplicação. Se não falar, diga: «não com fluência suficiente para conduzir entrevistas, e é precisamente por isso que a equipa de entrevistadores será recrutada localmente entre falantes nativos, que o instrumento será formalmente traduzido e retrovertido em vez de traduzido no momento, e que prevejo supervisão de campo com verificação de 10 % das entrevistas por revisita. A minha limitação linguística é uma razão a mais para o rigor do procedimento de tradução, não uma razão para o dispensar.»</w:t>
      </w:r>
    </w:p>
    <w:p>
      <w:pPr>
        <w:spacing w:line="276" w:lineRule="auto" w:before="180" w:after="60"/>
        <w:jc w:val="both"/>
      </w:pPr>
      <w:r>
        <w:rPr>
          <w:rFonts w:ascii="Times New Roman" w:hAnsi="Times New Roman" w:cs="Times New Roman" w:eastAsia="Times New Roman"/>
          <w:b/>
          <w:i w:val="0"/>
          <w:color w:val="1F3B57"/>
          <w:sz w:val="20"/>
        </w:rPr>
        <w:t xml:space="preserve">A8. </w:t>
      </w:r>
      <w:r>
        <w:rPr>
          <w:rFonts w:ascii="Times New Roman" w:hAnsi="Times New Roman" w:cs="Times New Roman" w:eastAsia="Times New Roman"/>
          <w:b/>
          <w:i w:val="0"/>
          <w:sz w:val="20"/>
        </w:rPr>
        <w:t>Qual é a diferença entre o que este protocolo promete e o que uma licenciatura consegue executar?</w:t>
      </w:r>
      <w:r>
        <w:rPr>
          <w:rFonts w:ascii="Times New Roman" w:hAnsi="Times New Roman" w:cs="Times New Roman" w:eastAsia="Times New Roman"/>
          <w:b/>
          <w:i w:val="0"/>
          <w:color w:val="B56A00"/>
          <w:sz w:val="17"/>
        </w:rPr>
        <w:t xml:space="preserve">   [risco médio]</w:t>
      </w:r>
    </w:p>
    <w:p>
      <w:pPr>
        <w:spacing w:line="276" w:lineRule="auto" w:before="0" w:after="40"/>
        <w:ind w:left="340"/>
        <w:jc w:val="both"/>
      </w:pPr>
      <w:r>
        <w:rPr>
          <w:rFonts w:ascii="Times New Roman" w:hAnsi="Times New Roman" w:cs="Times New Roman" w:eastAsia="Times New Roman"/>
          <w:b/>
          <w:i w:val="0"/>
          <w:color w:val="555555"/>
          <w:sz w:val="19"/>
        </w:rPr>
        <w:t xml:space="preserve">Porque perguntam: </w:t>
      </w:r>
      <w:r>
        <w:rPr>
          <w:rFonts w:ascii="Times New Roman" w:hAnsi="Times New Roman" w:cs="Times New Roman" w:eastAsia="Times New Roman"/>
          <w:b w:val="0"/>
          <w:i w:val="0"/>
          <w:color w:val="555555"/>
          <w:sz w:val="19"/>
        </w:rPr>
        <w:t>Pergunta de realismo. Testa maturidade e ausência de sobre-promessa.</w:t>
      </w:r>
    </w:p>
    <w:p>
      <w:pPr>
        <w:spacing w:line="276" w:lineRule="auto" w:before="0" w:after="40"/>
        <w:ind w:left="340"/>
        <w:jc w:val="both"/>
      </w:pPr>
      <w:r>
        <w:rPr>
          <w:rFonts w:ascii="Times New Roman" w:hAnsi="Times New Roman" w:cs="Times New Roman" w:eastAsia="Times New Roman"/>
          <w:b/>
          <w:i w:val="0"/>
          <w:color w:val="B03028"/>
          <w:sz w:val="19"/>
        </w:rPr>
        <w:t xml:space="preserve">Armadilha: </w:t>
      </w:r>
      <w:r>
        <w:rPr>
          <w:rFonts w:ascii="Times New Roman" w:hAnsi="Times New Roman" w:cs="Times New Roman" w:eastAsia="Times New Roman"/>
          <w:b w:val="0"/>
          <w:i w:val="0"/>
          <w:sz w:val="19"/>
        </w:rPr>
        <w:t>Afirmar que executa tudo sem dificuldade.</w:t>
      </w:r>
    </w:p>
    <w:p>
      <w:pPr>
        <w:spacing w:line="276" w:lineRule="auto" w:before="0" w:after="80"/>
        <w:ind w:left="340"/>
        <w:jc w:val="both"/>
      </w:pPr>
      <w:r>
        <w:rPr>
          <w:rFonts w:ascii="Times New Roman" w:hAnsi="Times New Roman" w:cs="Times New Roman" w:eastAsia="Times New Roman"/>
          <w:b/>
          <w:i w:val="0"/>
          <w:color w:val="1E6B3A"/>
          <w:sz w:val="19"/>
        </w:rPr>
        <w:t xml:space="preserve">Como responder: </w:t>
      </w:r>
      <w:r>
        <w:rPr>
          <w:rFonts w:ascii="Times New Roman" w:hAnsi="Times New Roman" w:cs="Times New Roman" w:eastAsia="Times New Roman"/>
          <w:b w:val="0"/>
          <w:i w:val="0"/>
          <w:sz w:val="19"/>
        </w:rPr>
        <w:t>«A parte mais exigente é o trabalho de campo: 650 entrevistas em 20 conglomerados, com equipa a coordenar e amostragem probabilística a respeitar no terreno, é um esforço considerável para um trabalho de licenciatura. É por isso que tenho um plano de contingência para reduzir a três entrevistadores com campo mais longo, e por isso que a janela de recolha é de seis meses para 20 dias efectivos. A parte analítica está ao meu alcance, desde que use os procedimentos de amostra complexa e não a análise simples — que é a correcção metodológica que aceitei durante esta arguição.»</w:t>
      </w:r>
    </w:p>
    <w:p>
      <w:r>
        <w:br w:type="page"/>
      </w:r>
    </w:p>
    <w:p>
      <w:pPr>
        <w:spacing w:line="276" w:lineRule="auto" w:before="280" w:after="120"/>
        <w:jc w:val="left"/>
      </w:pPr>
      <w:r>
        <w:rPr>
          <w:rFonts w:ascii="Times New Roman" w:hAnsi="Times New Roman" w:cs="Times New Roman" w:eastAsia="Times New Roman"/>
          <w:b/>
          <w:i w:val="0"/>
          <w:color w:val="1F3B57"/>
          <w:sz w:val="26"/>
        </w:rPr>
        <w:t>Fragilidades detectadas na avaliação do protocolo</w:t>
      </w:r>
    </w:p>
    <w:p>
      <w:pPr>
        <w:spacing w:line="276" w:lineRule="auto" w:before="0" w:after="80"/>
        <w:jc w:val="both"/>
      </w:pPr>
      <w:r>
        <w:rPr>
          <w:rFonts w:ascii="Times New Roman" w:hAnsi="Times New Roman" w:cs="Times New Roman" w:eastAsia="Times New Roman"/>
          <w:b w:val="0"/>
          <w:i w:val="0"/>
          <w:sz w:val="20"/>
        </w:rPr>
        <w:t>Ordenadas por gravidade. A coluna «Onde» indica a secção do protocolo em que a fragilidade se manifesta.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1F3B57"/>
          </w:tcPr>
          <w:p>
            <w:pPr>
              <w:spacing w:line="276" w:lineRule="auto" w:after="40"/>
              <w:jc w:val="left"/>
            </w:pPr>
            <w:r/>
            <w:r>
              <w:rPr>
                <w:rFonts w:ascii="Times New Roman" w:hAnsi="Times New Roman" w:cs="Times New Roman" w:eastAsia="Times New Roman"/>
                <w:b/>
                <w:i w:val="0"/>
                <w:color w:val="FFFFFF"/>
                <w:sz w:val="19"/>
              </w:rPr>
              <w:t>#</w:t>
            </w:r>
          </w:p>
        </w:tc>
        <w:tc>
          <w:tcPr>
            <w:tcW w:type="dxa" w:w="5669"/>
            <w:shd w:val="clear" w:color="auto" w:fill="1F3B57"/>
          </w:tcPr>
          <w:p>
            <w:pPr>
              <w:spacing w:line="276" w:lineRule="auto" w:after="40"/>
              <w:jc w:val="left"/>
            </w:pPr>
            <w:r/>
            <w:r>
              <w:rPr>
                <w:rFonts w:ascii="Times New Roman" w:hAnsi="Times New Roman" w:cs="Times New Roman" w:eastAsia="Times New Roman"/>
                <w:b/>
                <w:i w:val="0"/>
                <w:color w:val="FFFFFF"/>
                <w:sz w:val="19"/>
              </w:rPr>
              <w:t>Fragilidade</w:t>
            </w:r>
          </w:p>
        </w:tc>
        <w:tc>
          <w:tcPr>
            <w:tcW w:type="dxa" w:w="1701"/>
            <w:shd w:val="clear" w:color="auto" w:fill="1F3B57"/>
          </w:tcPr>
          <w:p>
            <w:pPr>
              <w:spacing w:line="276" w:lineRule="auto" w:after="40"/>
              <w:jc w:val="left"/>
            </w:pPr>
            <w:r/>
            <w:r>
              <w:rPr>
                <w:rFonts w:ascii="Times New Roman" w:hAnsi="Times New Roman" w:cs="Times New Roman" w:eastAsia="Times New Roman"/>
                <w:b/>
                <w:i w:val="0"/>
                <w:color w:val="FFFFFF"/>
                <w:sz w:val="19"/>
              </w:rPr>
              <w:t>Onde</w:t>
            </w:r>
          </w:p>
        </w:tc>
        <w:tc>
          <w:tcPr>
            <w:tcW w:type="dxa" w:w="1134"/>
            <w:shd w:val="clear" w:color="auto" w:fill="1F3B57"/>
          </w:tcPr>
          <w:p>
            <w:pPr>
              <w:spacing w:line="276" w:lineRule="auto" w:after="40"/>
              <w:jc w:val="left"/>
            </w:pPr>
            <w:r/>
            <w:r>
              <w:rPr>
                <w:rFonts w:ascii="Times New Roman" w:hAnsi="Times New Roman" w:cs="Times New Roman" w:eastAsia="Times New Roman"/>
                <w:b/>
                <w:i w:val="0"/>
                <w:color w:val="FFFFFF"/>
                <w:sz w:val="19"/>
              </w:rPr>
              <w:t>Gravidade</w:t>
            </w:r>
          </w:p>
        </w:tc>
      </w:tr>
      <w:tr>
        <w:tc>
          <w:tcPr>
            <w:tcW w:type="dxa" w:w="454"/>
          </w:tcPr>
          <w:p>
            <w:pPr>
              <w:spacing w:line="276" w:lineRule="auto" w:after="40"/>
              <w:jc w:val="left"/>
            </w:pPr>
            <w:r/>
            <w:r>
              <w:rPr>
                <w:rFonts w:ascii="Times New Roman" w:hAnsi="Times New Roman" w:cs="Times New Roman" w:eastAsia="Times New Roman"/>
                <w:b w:val="0"/>
                <w:i w:val="0"/>
                <w:sz w:val="19"/>
              </w:rPr>
              <w:t>1</w:t>
            </w:r>
          </w:p>
        </w:tc>
        <w:tc>
          <w:tcPr>
            <w:tcW w:type="dxa" w:w="5669"/>
          </w:tcPr>
          <w:p>
            <w:pPr>
              <w:spacing w:line="276" w:lineRule="auto" w:after="40"/>
              <w:jc w:val="left"/>
            </w:pPr>
            <w:r/>
            <w:r>
              <w:rPr>
                <w:rFonts w:ascii="Times New Roman" w:hAnsi="Times New Roman" w:cs="Times New Roman" w:eastAsia="Times New Roman"/>
                <w:b w:val="0"/>
                <w:i w:val="0"/>
                <w:sz w:val="19"/>
              </w:rPr>
              <w:t>O cálculo amostral não existe. A secção apresenta a fórmula n0 = Z² × p × (1 − p) / d² e termina. Sem Z, sem p, sem d, sem n, sem efeito de desenho, sem ajuste para não-resposta. A referência 53, sobre dimensão da amostra, ficou órfã na lista bibliográfica — nunca é citada no corpo.</w:t>
            </w:r>
          </w:p>
        </w:tc>
        <w:tc>
          <w:tcPr>
            <w:tcW w:type="dxa" w:w="1701"/>
          </w:tcPr>
          <w:p>
            <w:pPr>
              <w:spacing w:line="276" w:lineRule="auto" w:after="40"/>
              <w:jc w:val="left"/>
            </w:pPr>
            <w:r/>
            <w:r>
              <w:rPr>
                <w:rFonts w:ascii="Times New Roman" w:hAnsi="Times New Roman" w:cs="Times New Roman" w:eastAsia="Times New Roman"/>
                <w:b w:val="0"/>
                <w:i w:val="0"/>
                <w:sz w:val="19"/>
              </w:rPr>
              <w:t>7.4</w:t>
            </w:r>
          </w:p>
        </w:tc>
        <w:tc>
          <w:tcPr>
            <w:tcW w:type="dxa" w:w="1134"/>
          </w:tcPr>
          <w:p>
            <w:pPr>
              <w:spacing w:line="276" w:lineRule="auto" w:after="40"/>
              <w:jc w:val="left"/>
            </w:pPr>
            <w:r/>
            <w:r>
              <w:rPr>
                <w:rFonts w:ascii="Times New Roman" w:hAnsi="Times New Roman" w:cs="Times New Roman" w:eastAsia="Times New Roman"/>
                <w:b/>
                <w:i w:val="0"/>
                <w:color w:val="B03028"/>
                <w:sz w:val="19"/>
              </w:rPr>
              <w:t>CRÍTICA</w:t>
            </w:r>
          </w:p>
        </w:tc>
      </w:tr>
      <w:tr>
        <w:tc>
          <w:tcPr>
            <w:tcW w:type="dxa" w:w="454"/>
          </w:tcPr>
          <w:p>
            <w:pPr>
              <w:spacing w:line="276" w:lineRule="auto" w:after="40"/>
              <w:jc w:val="left"/>
            </w:pPr>
            <w:r/>
            <w:r>
              <w:rPr>
                <w:rFonts w:ascii="Times New Roman" w:hAnsi="Times New Roman" w:cs="Times New Roman" w:eastAsia="Times New Roman"/>
                <w:b w:val="0"/>
                <w:i w:val="0"/>
                <w:sz w:val="19"/>
              </w:rPr>
              <w:t>2</w:t>
            </w:r>
          </w:p>
        </w:tc>
        <w:tc>
          <w:tcPr>
            <w:tcW w:type="dxa" w:w="5669"/>
          </w:tcPr>
          <w:p>
            <w:pPr>
              <w:spacing w:line="276" w:lineRule="auto" w:after="40"/>
              <w:jc w:val="left"/>
            </w:pPr>
            <w:r/>
            <w:r>
              <w:rPr>
                <w:rFonts w:ascii="Times New Roman" w:hAnsi="Times New Roman" w:cs="Times New Roman" w:eastAsia="Times New Roman"/>
                <w:b w:val="0"/>
                <w:i w:val="0"/>
                <w:sz w:val="19"/>
              </w:rPr>
              <w:t>O plano de análise ignora o desenho por conglomerados. Qui-quadrado e regressão logística binária pressupõem independência das observações. Sem erros-padrão robustos por cluster e sem ponderação pelas probabilidades de selecção desiguais, os intervalos de confiança saem falsamente estreitos e o erro tipo I é inflacionado.</w:t>
            </w:r>
          </w:p>
        </w:tc>
        <w:tc>
          <w:tcPr>
            <w:tcW w:type="dxa" w:w="1701"/>
          </w:tcPr>
          <w:p>
            <w:pPr>
              <w:spacing w:line="276" w:lineRule="auto" w:after="40"/>
              <w:jc w:val="left"/>
            </w:pPr>
            <w:r/>
            <w:r>
              <w:rPr>
                <w:rFonts w:ascii="Times New Roman" w:hAnsi="Times New Roman" w:cs="Times New Roman" w:eastAsia="Times New Roman"/>
                <w:b w:val="0"/>
                <w:i w:val="0"/>
                <w:sz w:val="19"/>
              </w:rPr>
              <w:t>7.9</w:t>
            </w:r>
          </w:p>
        </w:tc>
        <w:tc>
          <w:tcPr>
            <w:tcW w:type="dxa" w:w="1134"/>
          </w:tcPr>
          <w:p>
            <w:pPr>
              <w:spacing w:line="276" w:lineRule="auto" w:after="40"/>
              <w:jc w:val="left"/>
            </w:pPr>
            <w:r/>
            <w:r>
              <w:rPr>
                <w:rFonts w:ascii="Times New Roman" w:hAnsi="Times New Roman" w:cs="Times New Roman" w:eastAsia="Times New Roman"/>
                <w:b/>
                <w:i w:val="0"/>
                <w:color w:val="B03028"/>
                <w:sz w:val="19"/>
              </w:rPr>
              <w:t>CRÍTICA</w:t>
            </w:r>
          </w:p>
        </w:tc>
      </w:tr>
      <w:tr>
        <w:tc>
          <w:tcPr>
            <w:tcW w:type="dxa" w:w="454"/>
          </w:tcPr>
          <w:p>
            <w:pPr>
              <w:spacing w:line="276" w:lineRule="auto" w:after="40"/>
              <w:jc w:val="left"/>
            </w:pPr>
            <w:r/>
            <w:r>
              <w:rPr>
                <w:rFonts w:ascii="Times New Roman" w:hAnsi="Times New Roman" w:cs="Times New Roman" w:eastAsia="Times New Roman"/>
                <w:b w:val="0"/>
                <w:i w:val="0"/>
                <w:sz w:val="19"/>
              </w:rPr>
              <w:t>3</w:t>
            </w:r>
          </w:p>
        </w:tc>
        <w:tc>
          <w:tcPr>
            <w:tcW w:type="dxa" w:w="5669"/>
          </w:tcPr>
          <w:p>
            <w:pPr>
              <w:spacing w:line="276" w:lineRule="auto" w:after="40"/>
              <w:jc w:val="left"/>
            </w:pPr>
            <w:r/>
            <w:r>
              <w:rPr>
                <w:rFonts w:ascii="Times New Roman" w:hAnsi="Times New Roman" w:cs="Times New Roman" w:eastAsia="Times New Roman"/>
                <w:b w:val="0"/>
                <w:i w:val="0"/>
                <w:sz w:val="19"/>
              </w:rPr>
              <w:t>As hipóteses não correspondem ao desfecho analisado. A secção 4 formula hipóteses sobre o conhecimento; o objectivo específico 5 e o plano de análise incidem sobre as práticas. Não existe qualquer hipótese sobre a associação conhecimento-práticas, que é o eixo do modelo CAP.</w:t>
            </w:r>
          </w:p>
        </w:tc>
        <w:tc>
          <w:tcPr>
            <w:tcW w:type="dxa" w:w="1701"/>
          </w:tcPr>
          <w:p>
            <w:pPr>
              <w:spacing w:line="276" w:lineRule="auto" w:after="40"/>
              <w:jc w:val="left"/>
            </w:pPr>
            <w:r/>
            <w:r>
              <w:rPr>
                <w:rFonts w:ascii="Times New Roman" w:hAnsi="Times New Roman" w:cs="Times New Roman" w:eastAsia="Times New Roman"/>
                <w:b w:val="0"/>
                <w:i w:val="0"/>
                <w:sz w:val="19"/>
              </w:rPr>
              <w:t>4 · 3.2 · 7.9</w:t>
            </w:r>
          </w:p>
        </w:tc>
        <w:tc>
          <w:tcPr>
            <w:tcW w:type="dxa" w:w="1134"/>
          </w:tcPr>
          <w:p>
            <w:pPr>
              <w:spacing w:line="276" w:lineRule="auto" w:after="40"/>
              <w:jc w:val="left"/>
            </w:pPr>
            <w:r/>
            <w:r>
              <w:rPr>
                <w:rFonts w:ascii="Times New Roman" w:hAnsi="Times New Roman" w:cs="Times New Roman" w:eastAsia="Times New Roman"/>
                <w:b/>
                <w:i w:val="0"/>
                <w:color w:val="B03028"/>
                <w:sz w:val="19"/>
              </w:rPr>
              <w:t>CRÍTICA</w:t>
            </w:r>
          </w:p>
        </w:tc>
      </w:tr>
      <w:tr>
        <w:tc>
          <w:tcPr>
            <w:tcW w:type="dxa" w:w="454"/>
          </w:tcPr>
          <w:p>
            <w:pPr>
              <w:spacing w:line="276" w:lineRule="auto" w:after="40"/>
              <w:jc w:val="left"/>
            </w:pPr>
            <w:r/>
            <w:r>
              <w:rPr>
                <w:rFonts w:ascii="Times New Roman" w:hAnsi="Times New Roman" w:cs="Times New Roman" w:eastAsia="Times New Roman"/>
                <w:b w:val="0"/>
                <w:i w:val="0"/>
                <w:sz w:val="19"/>
              </w:rPr>
              <w:t>4</w:t>
            </w:r>
          </w:p>
        </w:tc>
        <w:tc>
          <w:tcPr>
            <w:tcW w:type="dxa" w:w="5669"/>
          </w:tcPr>
          <w:p>
            <w:pPr>
              <w:spacing w:line="276" w:lineRule="auto" w:after="40"/>
              <w:jc w:val="left"/>
            </w:pPr>
            <w:r/>
            <w:r>
              <w:rPr>
                <w:rFonts w:ascii="Times New Roman" w:hAnsi="Times New Roman" w:cs="Times New Roman" w:eastAsia="Times New Roman"/>
                <w:b w:val="0"/>
                <w:i w:val="0"/>
                <w:sz w:val="19"/>
              </w:rPr>
              <w:t>Não existe chave de pontuação. A pontuação máxima de cada dimensão não é declarada; os itens de resposta múltipla (8 e 9) não têm regra de pontuação; os itens invertidos não têm regra de recodificação. Sem isto, o ponto de corte de Bloom é indefinido e o estudo não é replicável.</w:t>
            </w:r>
          </w:p>
        </w:tc>
        <w:tc>
          <w:tcPr>
            <w:tcW w:type="dxa" w:w="1701"/>
          </w:tcPr>
          <w:p>
            <w:pPr>
              <w:spacing w:line="276" w:lineRule="auto" w:after="40"/>
              <w:jc w:val="left"/>
            </w:pPr>
            <w:r/>
            <w:r>
              <w:rPr>
                <w:rFonts w:ascii="Times New Roman" w:hAnsi="Times New Roman" w:cs="Times New Roman" w:eastAsia="Times New Roman"/>
                <w:b w:val="0"/>
                <w:i w:val="0"/>
                <w:sz w:val="19"/>
              </w:rPr>
              <w:t>7.7 · Ap. A</w:t>
            </w:r>
          </w:p>
        </w:tc>
        <w:tc>
          <w:tcPr>
            <w:tcW w:type="dxa" w:w="1134"/>
          </w:tcPr>
          <w:p>
            <w:pPr>
              <w:spacing w:line="276" w:lineRule="auto" w:after="40"/>
              <w:jc w:val="left"/>
            </w:pPr>
            <w:r/>
            <w:r>
              <w:rPr>
                <w:rFonts w:ascii="Times New Roman" w:hAnsi="Times New Roman" w:cs="Times New Roman" w:eastAsia="Times New Roman"/>
                <w:b/>
                <w:i w:val="0"/>
                <w:color w:val="B03028"/>
                <w:sz w:val="19"/>
              </w:rPr>
              <w:t>CRÍTICA</w:t>
            </w:r>
          </w:p>
        </w:tc>
      </w:tr>
      <w:tr>
        <w:tc>
          <w:tcPr>
            <w:tcW w:type="dxa" w:w="454"/>
          </w:tcPr>
          <w:p>
            <w:pPr>
              <w:spacing w:line="276" w:lineRule="auto" w:after="40"/>
              <w:jc w:val="left"/>
            </w:pPr>
            <w:r/>
            <w:r>
              <w:rPr>
                <w:rFonts w:ascii="Times New Roman" w:hAnsi="Times New Roman" w:cs="Times New Roman" w:eastAsia="Times New Roman"/>
                <w:b w:val="0"/>
                <w:i w:val="0"/>
                <w:sz w:val="19"/>
              </w:rPr>
              <w:t>5</w:t>
            </w:r>
          </w:p>
        </w:tc>
        <w:tc>
          <w:tcPr>
            <w:tcW w:type="dxa" w:w="5669"/>
          </w:tcPr>
          <w:p>
            <w:pPr>
              <w:spacing w:line="276" w:lineRule="auto" w:after="40"/>
              <w:jc w:val="left"/>
            </w:pPr>
            <w:r/>
            <w:r>
              <w:rPr>
                <w:rFonts w:ascii="Times New Roman" w:hAnsi="Times New Roman" w:cs="Times New Roman" w:eastAsia="Times New Roman"/>
                <w:b w:val="0"/>
                <w:i w:val="0"/>
                <w:sz w:val="19"/>
              </w:rPr>
              <w:t>O instrumento não existe na língua em que vai ser aplicado. A recolha é em Emakhuwa; o Apêndice A está apenas em português. Sem tradução, retroversão e harmonização formais, cada entrevistador aplica um instrumento diferente.</w:t>
            </w:r>
          </w:p>
        </w:tc>
        <w:tc>
          <w:tcPr>
            <w:tcW w:type="dxa" w:w="1701"/>
          </w:tcPr>
          <w:p>
            <w:pPr>
              <w:spacing w:line="276" w:lineRule="auto" w:after="40"/>
              <w:jc w:val="left"/>
            </w:pPr>
            <w:r/>
            <w:r>
              <w:rPr>
                <w:rFonts w:ascii="Times New Roman" w:hAnsi="Times New Roman" w:cs="Times New Roman" w:eastAsia="Times New Roman"/>
                <w:b w:val="0"/>
                <w:i w:val="0"/>
                <w:sz w:val="19"/>
              </w:rPr>
              <w:t>7.8 · Ap. A</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6</w:t>
            </w:r>
          </w:p>
        </w:tc>
        <w:tc>
          <w:tcPr>
            <w:tcW w:type="dxa" w:w="5669"/>
          </w:tcPr>
          <w:p>
            <w:pPr>
              <w:spacing w:line="276" w:lineRule="auto" w:after="40"/>
              <w:jc w:val="left"/>
            </w:pPr>
            <w:r/>
            <w:r>
              <w:rPr>
                <w:rFonts w:ascii="Times New Roman" w:hAnsi="Times New Roman" w:cs="Times New Roman" w:eastAsia="Times New Roman"/>
                <w:b w:val="0"/>
                <w:i w:val="0"/>
                <w:sz w:val="19"/>
              </w:rPr>
              <w:t>Contradição interna na operacionalização. A secção 7.6 afirma três níveis para as três dimensões; o Quadro 2 dá dois níveis às práticas. A categoria «indiferente» das atitudes é inatingível com uma escala forçada de quatro pontos sem neutro e sem pontos de corte definidos.</w:t>
            </w:r>
          </w:p>
        </w:tc>
        <w:tc>
          <w:tcPr>
            <w:tcW w:type="dxa" w:w="1701"/>
          </w:tcPr>
          <w:p>
            <w:pPr>
              <w:spacing w:line="276" w:lineRule="auto" w:after="40"/>
              <w:jc w:val="left"/>
            </w:pPr>
            <w:r/>
            <w:r>
              <w:rPr>
                <w:rFonts w:ascii="Times New Roman" w:hAnsi="Times New Roman" w:cs="Times New Roman" w:eastAsia="Times New Roman"/>
                <w:b w:val="0"/>
                <w:i w:val="0"/>
                <w:sz w:val="19"/>
              </w:rPr>
              <w:t>7.6 · Quadro 2</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7</w:t>
            </w:r>
          </w:p>
        </w:tc>
        <w:tc>
          <w:tcPr>
            <w:tcW w:type="dxa" w:w="5669"/>
          </w:tcPr>
          <w:p>
            <w:pPr>
              <w:spacing w:line="276" w:lineRule="auto" w:after="40"/>
              <w:jc w:val="left"/>
            </w:pPr>
            <w:r/>
            <w:r>
              <w:rPr>
                <w:rFonts w:ascii="Times New Roman" w:hAnsi="Times New Roman" w:cs="Times New Roman" w:eastAsia="Times New Roman"/>
                <w:b w:val="0"/>
                <w:i w:val="0"/>
                <w:sz w:val="19"/>
              </w:rPr>
              <w:t>Instrumento demasiado curto. Sete itens de conhecimento e seis de atitude. Com sete itens, o corte de 80 % equivale a seis respostas certas e um único erro reclassifica o participante. A fiabilidade tenderá a ficar abaixo do limiar de 0,70 que o próprio protocolo fixa.</w:t>
            </w:r>
          </w:p>
        </w:tc>
        <w:tc>
          <w:tcPr>
            <w:tcW w:type="dxa" w:w="1701"/>
          </w:tcPr>
          <w:p>
            <w:pPr>
              <w:spacing w:line="276" w:lineRule="auto" w:after="40"/>
              <w:jc w:val="left"/>
            </w:pPr>
            <w:r/>
            <w:r>
              <w:rPr>
                <w:rFonts w:ascii="Times New Roman" w:hAnsi="Times New Roman" w:cs="Times New Roman" w:eastAsia="Times New Roman"/>
                <w:b w:val="0"/>
                <w:i w:val="0"/>
                <w:sz w:val="19"/>
              </w:rPr>
              <w:t>Ap. A</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8</w:t>
            </w:r>
          </w:p>
        </w:tc>
        <w:tc>
          <w:tcPr>
            <w:tcW w:type="dxa" w:w="5669"/>
          </w:tcPr>
          <w:p>
            <w:pPr>
              <w:spacing w:line="276" w:lineRule="auto" w:after="40"/>
              <w:jc w:val="left"/>
            </w:pPr>
            <w:r/>
            <w:r>
              <w:rPr>
                <w:rFonts w:ascii="Times New Roman" w:hAnsi="Times New Roman" w:cs="Times New Roman" w:eastAsia="Times New Roman"/>
                <w:b w:val="0"/>
                <w:i w:val="0"/>
                <w:sz w:val="19"/>
              </w:rPr>
              <w:t>Determinantes principais não medidos. A revisão identifica o custo (53 %), a distância (15 %) e a pobreza (OR 2,6) como barreiras centrais, mas nem o Quadro 2 nem o questionário incluem rendimento, distância à unidade sanitária, dimensão do agregado ou estado civil. O modelo multivariável fica sub-especificado.</w:t>
            </w:r>
          </w:p>
        </w:tc>
        <w:tc>
          <w:tcPr>
            <w:tcW w:type="dxa" w:w="1701"/>
          </w:tcPr>
          <w:p>
            <w:pPr>
              <w:spacing w:line="276" w:lineRule="auto" w:after="40"/>
              <w:jc w:val="left"/>
            </w:pPr>
            <w:r/>
            <w:r>
              <w:rPr>
                <w:rFonts w:ascii="Times New Roman" w:hAnsi="Times New Roman" w:cs="Times New Roman" w:eastAsia="Times New Roman"/>
                <w:b w:val="0"/>
                <w:i w:val="0"/>
                <w:sz w:val="19"/>
              </w:rPr>
              <w:t>6.7 · Quadro 2 · Ap. A</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9</w:t>
            </w:r>
          </w:p>
        </w:tc>
        <w:tc>
          <w:tcPr>
            <w:tcW w:type="dxa" w:w="5669"/>
          </w:tcPr>
          <w:p>
            <w:pPr>
              <w:spacing w:line="276" w:lineRule="auto" w:after="40"/>
              <w:jc w:val="left"/>
            </w:pPr>
            <w:r/>
            <w:r>
              <w:rPr>
                <w:rFonts w:ascii="Times New Roman" w:hAnsi="Times New Roman" w:cs="Times New Roman" w:eastAsia="Times New Roman"/>
                <w:b w:val="0"/>
                <w:i w:val="0"/>
                <w:sz w:val="19"/>
              </w:rPr>
              <w:t>Ausência total de secção de limitações e de qualquer menção a viés. Não há uma palavra sobre desejabilidade social, causalidade reversa, viés de selecção intra-agregado ou não-resposta.</w:t>
            </w:r>
          </w:p>
        </w:tc>
        <w:tc>
          <w:tcPr>
            <w:tcW w:type="dxa" w:w="1701"/>
          </w:tcPr>
          <w:p>
            <w:pPr>
              <w:spacing w:line="276" w:lineRule="auto" w:after="40"/>
              <w:jc w:val="left"/>
            </w:pPr>
            <w:r/>
            <w:r>
              <w:rPr>
                <w:rFonts w:ascii="Times New Roman" w:hAnsi="Times New Roman" w:cs="Times New Roman" w:eastAsia="Times New Roman"/>
                <w:b w:val="0"/>
                <w:i w:val="0"/>
                <w:sz w:val="19"/>
              </w:rPr>
              <w:t>todo</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10</w:t>
            </w:r>
          </w:p>
        </w:tc>
        <w:tc>
          <w:tcPr>
            <w:tcW w:type="dxa" w:w="5669"/>
          </w:tcPr>
          <w:p>
            <w:pPr>
              <w:spacing w:line="276" w:lineRule="auto" w:after="40"/>
              <w:jc w:val="left"/>
            </w:pPr>
            <w:r/>
            <w:r>
              <w:rPr>
                <w:rFonts w:ascii="Times New Roman" w:hAnsi="Times New Roman" w:cs="Times New Roman" w:eastAsia="Times New Roman"/>
                <w:b w:val="0"/>
                <w:i w:val="0"/>
                <w:sz w:val="19"/>
              </w:rPr>
              <w:t>Selecção intra-agregado não especificada. Diz-se «um adulto elegível» sem indicar o método. Sem grelha de Kish ou equivalente, a amostra enviesa para quem está em casa. Não se prevê o registo do número de adultos elegíveis, indispensável para a ponderação.</w:t>
            </w:r>
          </w:p>
        </w:tc>
        <w:tc>
          <w:tcPr>
            <w:tcW w:type="dxa" w:w="1701"/>
          </w:tcPr>
          <w:p>
            <w:pPr>
              <w:spacing w:line="276" w:lineRule="auto" w:after="40"/>
              <w:jc w:val="left"/>
            </w:pPr>
            <w:r/>
            <w:r>
              <w:rPr>
                <w:rFonts w:ascii="Times New Roman" w:hAnsi="Times New Roman" w:cs="Times New Roman" w:eastAsia="Times New Roman"/>
                <w:b w:val="0"/>
                <w:i w:val="0"/>
                <w:sz w:val="19"/>
              </w:rPr>
              <w:t>7.4</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11</w:t>
            </w:r>
          </w:p>
        </w:tc>
        <w:tc>
          <w:tcPr>
            <w:tcW w:type="dxa" w:w="5669"/>
          </w:tcPr>
          <w:p>
            <w:pPr>
              <w:spacing w:line="276" w:lineRule="auto" w:after="40"/>
              <w:jc w:val="left"/>
            </w:pPr>
            <w:r/>
            <w:r>
              <w:rPr>
                <w:rFonts w:ascii="Times New Roman" w:hAnsi="Times New Roman" w:cs="Times New Roman" w:eastAsia="Times New Roman"/>
                <w:b w:val="0"/>
                <w:i w:val="0"/>
                <w:sz w:val="19"/>
              </w:rPr>
              <w:t>Elementos formais em falta. Nome do orientador em branco; Declaração do Orientador sem texto; Abstract sem texto; Índice sem texto; sem fonte de financiamento; sem declaração de conflito de interesses; sem plano de retenção e destruição de dados; posto administrativo, localidade e população elegível por definir.</w:t>
            </w:r>
          </w:p>
        </w:tc>
        <w:tc>
          <w:tcPr>
            <w:tcW w:type="dxa" w:w="1701"/>
          </w:tcPr>
          <w:p>
            <w:pPr>
              <w:spacing w:line="276" w:lineRule="auto" w:after="40"/>
              <w:jc w:val="left"/>
            </w:pPr>
            <w:r/>
            <w:r>
              <w:rPr>
                <w:rFonts w:ascii="Times New Roman" w:hAnsi="Times New Roman" w:cs="Times New Roman" w:eastAsia="Times New Roman"/>
                <w:b w:val="0"/>
                <w:i w:val="0"/>
                <w:sz w:val="19"/>
              </w:rPr>
              <w:t>capa · pré-textuais · 7.2 · 11</w:t>
            </w:r>
          </w:p>
        </w:tc>
        <w:tc>
          <w:tcPr>
            <w:tcW w:type="dxa" w:w="1134"/>
          </w:tcPr>
          <w:p>
            <w:pPr>
              <w:spacing w:line="276" w:lineRule="auto" w:after="40"/>
              <w:jc w:val="left"/>
            </w:pPr>
            <w:r/>
            <w:r>
              <w:rPr>
                <w:rFonts w:ascii="Times New Roman" w:hAnsi="Times New Roman" w:cs="Times New Roman" w:eastAsia="Times New Roman"/>
                <w:b/>
                <w:i w:val="0"/>
                <w:color w:val="B56A00"/>
                <w:sz w:val="19"/>
              </w:rPr>
              <w:t>ALTA</w:t>
            </w:r>
          </w:p>
        </w:tc>
      </w:tr>
      <w:tr>
        <w:tc>
          <w:tcPr>
            <w:tcW w:type="dxa" w:w="454"/>
          </w:tcPr>
          <w:p>
            <w:pPr>
              <w:spacing w:line="276" w:lineRule="auto" w:after="40"/>
              <w:jc w:val="left"/>
            </w:pPr>
            <w:r/>
            <w:r>
              <w:rPr>
                <w:rFonts w:ascii="Times New Roman" w:hAnsi="Times New Roman" w:cs="Times New Roman" w:eastAsia="Times New Roman"/>
                <w:b w:val="0"/>
                <w:i w:val="0"/>
                <w:sz w:val="19"/>
              </w:rPr>
              <w:t>12</w:t>
            </w:r>
          </w:p>
        </w:tc>
        <w:tc>
          <w:tcPr>
            <w:tcW w:type="dxa" w:w="5669"/>
          </w:tcPr>
          <w:p>
            <w:pPr>
              <w:spacing w:line="276" w:lineRule="auto" w:after="40"/>
              <w:jc w:val="left"/>
            </w:pPr>
            <w:r/>
            <w:r>
              <w:rPr>
                <w:rFonts w:ascii="Times New Roman" w:hAnsi="Times New Roman" w:cs="Times New Roman" w:eastAsia="Times New Roman"/>
                <w:b w:val="0"/>
                <w:i w:val="0"/>
                <w:sz w:val="19"/>
              </w:rPr>
              <w:t>Validade do instrumento não prevista. Prevê-se fiabilidade (KR-20 e alfa de Cronbach) mas não validade de conteúdo por painel de peritos, apesar de a sigla CVI constar da lista de abreviaturas — sinal de que esteve prevista e desapareceu.</w:t>
            </w:r>
          </w:p>
        </w:tc>
        <w:tc>
          <w:tcPr>
            <w:tcW w:type="dxa" w:w="1701"/>
          </w:tcPr>
          <w:p>
            <w:pPr>
              <w:spacing w:line="276" w:lineRule="auto" w:after="40"/>
              <w:jc w:val="left"/>
            </w:pPr>
            <w:r/>
            <w:r>
              <w:rPr>
                <w:rFonts w:ascii="Times New Roman" w:hAnsi="Times New Roman" w:cs="Times New Roman" w:eastAsia="Times New Roman"/>
                <w:b w:val="0"/>
                <w:i w:val="0"/>
                <w:sz w:val="19"/>
              </w:rPr>
              <w:t>7.7</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13</w:t>
            </w:r>
          </w:p>
        </w:tc>
        <w:tc>
          <w:tcPr>
            <w:tcW w:type="dxa" w:w="5669"/>
          </w:tcPr>
          <w:p>
            <w:pPr>
              <w:spacing w:line="276" w:lineRule="auto" w:after="40"/>
              <w:jc w:val="left"/>
            </w:pPr>
            <w:r/>
            <w:r>
              <w:rPr>
                <w:rFonts w:ascii="Times New Roman" w:hAnsi="Times New Roman" w:cs="Times New Roman" w:eastAsia="Times New Roman"/>
                <w:b w:val="0"/>
                <w:i w:val="0"/>
                <w:sz w:val="19"/>
              </w:rPr>
              <w:t>Itens classificados na dimensão errada. O item 26 mede intenção e o item 25 mede barreiras hipotéticas, mas ambos estão na secção de práticas, sem que se declare se entram ou não na pontuação.</w:t>
            </w:r>
          </w:p>
        </w:tc>
        <w:tc>
          <w:tcPr>
            <w:tcW w:type="dxa" w:w="1701"/>
          </w:tcPr>
          <w:p>
            <w:pPr>
              <w:spacing w:line="276" w:lineRule="auto" w:after="40"/>
              <w:jc w:val="left"/>
            </w:pPr>
            <w:r/>
            <w:r>
              <w:rPr>
                <w:rFonts w:ascii="Times New Roman" w:hAnsi="Times New Roman" w:cs="Times New Roman" w:eastAsia="Times New Roman"/>
                <w:b w:val="0"/>
                <w:i w:val="0"/>
                <w:sz w:val="19"/>
              </w:rPr>
              <w:t>Ap. A</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14</w:t>
            </w:r>
          </w:p>
        </w:tc>
        <w:tc>
          <w:tcPr>
            <w:tcW w:type="dxa" w:w="5669"/>
          </w:tcPr>
          <w:p>
            <w:pPr>
              <w:spacing w:line="276" w:lineRule="auto" w:after="40"/>
              <w:jc w:val="left"/>
            </w:pPr>
            <w:r/>
            <w:r>
              <w:rPr>
                <w:rFonts w:ascii="Times New Roman" w:hAnsi="Times New Roman" w:cs="Times New Roman" w:eastAsia="Times New Roman"/>
                <w:b w:val="0"/>
                <w:i w:val="0"/>
                <w:sz w:val="19"/>
              </w:rPr>
              <w:t>O módulo de barreiras do RAAB é usado fora do seu contexto de validação: no RAAB aplica-se a pessoas com catarata operável identificada por exame, não hipoteticamente a toda a população.</w:t>
            </w:r>
          </w:p>
        </w:tc>
        <w:tc>
          <w:tcPr>
            <w:tcW w:type="dxa" w:w="1701"/>
          </w:tcPr>
          <w:p>
            <w:pPr>
              <w:spacing w:line="276" w:lineRule="auto" w:after="40"/>
              <w:jc w:val="left"/>
            </w:pPr>
            <w:r/>
            <w:r>
              <w:rPr>
                <w:rFonts w:ascii="Times New Roman" w:hAnsi="Times New Roman" w:cs="Times New Roman" w:eastAsia="Times New Roman"/>
                <w:b w:val="0"/>
                <w:i w:val="0"/>
                <w:sz w:val="19"/>
              </w:rPr>
              <w:t>Ap. A, item 25</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15</w:t>
            </w:r>
          </w:p>
        </w:tc>
        <w:tc>
          <w:tcPr>
            <w:tcW w:type="dxa" w:w="5669"/>
          </w:tcPr>
          <w:p>
            <w:pPr>
              <w:spacing w:line="276" w:lineRule="auto" w:after="40"/>
              <w:jc w:val="left"/>
            </w:pPr>
            <w:r/>
            <w:r>
              <w:rPr>
                <w:rFonts w:ascii="Times New Roman" w:hAnsi="Times New Roman" w:cs="Times New Roman" w:eastAsia="Times New Roman"/>
                <w:b w:val="0"/>
                <w:i w:val="0"/>
                <w:sz w:val="19"/>
              </w:rPr>
              <w:t>Cronograma incoerente. O pré-teste (Jan-Mar 2027) sobrepõe-se ao período de aprovação ética, que só termina em Mar 2027. O pré-teste envolve seres humanos e exige aprovação prévia.</w:t>
            </w:r>
          </w:p>
        </w:tc>
        <w:tc>
          <w:tcPr>
            <w:tcW w:type="dxa" w:w="1701"/>
          </w:tcPr>
          <w:p>
            <w:pPr>
              <w:spacing w:line="276" w:lineRule="auto" w:after="40"/>
              <w:jc w:val="left"/>
            </w:pPr>
            <w:r/>
            <w:r>
              <w:rPr>
                <w:rFonts w:ascii="Times New Roman" w:hAnsi="Times New Roman" w:cs="Times New Roman" w:eastAsia="Times New Roman"/>
                <w:b w:val="0"/>
                <w:i w:val="0"/>
                <w:sz w:val="19"/>
              </w:rPr>
              <w:t>10</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16</w:t>
            </w:r>
          </w:p>
        </w:tc>
        <w:tc>
          <w:tcPr>
            <w:tcW w:type="dxa" w:w="5669"/>
          </w:tcPr>
          <w:p>
            <w:pPr>
              <w:spacing w:line="276" w:lineRule="auto" w:after="40"/>
              <w:jc w:val="left"/>
            </w:pPr>
            <w:r/>
            <w:r>
              <w:rPr>
                <w:rFonts w:ascii="Times New Roman" w:hAnsi="Times New Roman" w:cs="Times New Roman" w:eastAsia="Times New Roman"/>
                <w:b w:val="0"/>
                <w:i w:val="0"/>
                <w:sz w:val="19"/>
              </w:rPr>
              <w:t>Orçamento subestimado e incompleto. A alimentação prevê 500 MZN por dia para cinco pessoas; 12 deslocações para 20 dias e 20 conglomerados. Faltam rubricas de tradução, formação dos entrevistadores, transporte de referenciação e contingência. O valor realista situa-se entre 170.000 e 180.000 MZN.</w:t>
            </w:r>
          </w:p>
        </w:tc>
        <w:tc>
          <w:tcPr>
            <w:tcW w:type="dxa" w:w="1701"/>
          </w:tcPr>
          <w:p>
            <w:pPr>
              <w:spacing w:line="276" w:lineRule="auto" w:after="40"/>
              <w:jc w:val="left"/>
            </w:pPr>
            <w:r/>
            <w:r>
              <w:rPr>
                <w:rFonts w:ascii="Times New Roman" w:hAnsi="Times New Roman" w:cs="Times New Roman" w:eastAsia="Times New Roman"/>
                <w:b w:val="0"/>
                <w:i w:val="0"/>
                <w:sz w:val="19"/>
              </w:rPr>
              <w:t>11</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17</w:t>
            </w:r>
          </w:p>
        </w:tc>
        <w:tc>
          <w:tcPr>
            <w:tcW w:type="dxa" w:w="5669"/>
          </w:tcPr>
          <w:p>
            <w:pPr>
              <w:spacing w:line="276" w:lineRule="auto" w:after="40"/>
              <w:jc w:val="left"/>
            </w:pPr>
            <w:r/>
            <w:r>
              <w:rPr>
                <w:rFonts w:ascii="Times New Roman" w:hAnsi="Times New Roman" w:cs="Times New Roman" w:eastAsia="Times New Roman"/>
                <w:b w:val="0"/>
                <w:i w:val="0"/>
                <w:sz w:val="19"/>
              </w:rPr>
              <w:t>Compromisso de referenciação sem operacionalização: sem unidade sanitária nomeada, sem acordo prévio, sem critério clínico e sem meios para o transporte dos casos referenciados.</w:t>
            </w:r>
          </w:p>
        </w:tc>
        <w:tc>
          <w:tcPr>
            <w:tcW w:type="dxa" w:w="1701"/>
          </w:tcPr>
          <w:p>
            <w:pPr>
              <w:spacing w:line="276" w:lineRule="auto" w:after="40"/>
              <w:jc w:val="left"/>
            </w:pPr>
            <w:r/>
            <w:r>
              <w:rPr>
                <w:rFonts w:ascii="Times New Roman" w:hAnsi="Times New Roman" w:cs="Times New Roman" w:eastAsia="Times New Roman"/>
                <w:b w:val="0"/>
                <w:i w:val="0"/>
                <w:sz w:val="19"/>
              </w:rPr>
              <w:t>7.10</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18</w:t>
            </w:r>
          </w:p>
        </w:tc>
        <w:tc>
          <w:tcPr>
            <w:tcW w:type="dxa" w:w="5669"/>
          </w:tcPr>
          <w:p>
            <w:pPr>
              <w:spacing w:line="276" w:lineRule="auto" w:after="40"/>
              <w:jc w:val="left"/>
            </w:pPr>
            <w:r/>
            <w:r>
              <w:rPr>
                <w:rFonts w:ascii="Times New Roman" w:hAnsi="Times New Roman" w:cs="Times New Roman" w:eastAsia="Times New Roman"/>
                <w:b w:val="0"/>
                <w:i w:val="0"/>
                <w:sz w:val="19"/>
              </w:rPr>
              <w:t>Formulação ética excessiva: «o estudo não comporta riscos previsíveis». Nenhum comité aceita risco zero. Deve ler-se «riscos mínimos», com os riscos identificados e mitigados.</w:t>
            </w:r>
          </w:p>
        </w:tc>
        <w:tc>
          <w:tcPr>
            <w:tcW w:type="dxa" w:w="1701"/>
          </w:tcPr>
          <w:p>
            <w:pPr>
              <w:spacing w:line="276" w:lineRule="auto" w:after="40"/>
              <w:jc w:val="left"/>
            </w:pPr>
            <w:r/>
            <w:r>
              <w:rPr>
                <w:rFonts w:ascii="Times New Roman" w:hAnsi="Times New Roman" w:cs="Times New Roman" w:eastAsia="Times New Roman"/>
                <w:b w:val="0"/>
                <w:i w:val="0"/>
                <w:sz w:val="19"/>
              </w:rPr>
              <w:t>7.10 · Ap. B</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19</w:t>
            </w:r>
          </w:p>
        </w:tc>
        <w:tc>
          <w:tcPr>
            <w:tcW w:type="dxa" w:w="5669"/>
          </w:tcPr>
          <w:p>
            <w:pPr>
              <w:spacing w:line="276" w:lineRule="auto" w:after="40"/>
              <w:jc w:val="left"/>
            </w:pPr>
            <w:r/>
            <w:r>
              <w:rPr>
                <w:rFonts w:ascii="Times New Roman" w:hAnsi="Times New Roman" w:cs="Times New Roman" w:eastAsia="Times New Roman"/>
                <w:b w:val="0"/>
                <w:i w:val="0"/>
                <w:sz w:val="19"/>
              </w:rPr>
              <w:t>Generalização sobre-extendida: o desenho cobre uma comunidade, a justificação e os resultados esperados projectam implicações distritais e provinciais.</w:t>
            </w:r>
          </w:p>
        </w:tc>
        <w:tc>
          <w:tcPr>
            <w:tcW w:type="dxa" w:w="1701"/>
          </w:tcPr>
          <w:p>
            <w:pPr>
              <w:spacing w:line="276" w:lineRule="auto" w:after="40"/>
              <w:jc w:val="left"/>
            </w:pPr>
            <w:r/>
            <w:r>
              <w:rPr>
                <w:rFonts w:ascii="Times New Roman" w:hAnsi="Times New Roman" w:cs="Times New Roman" w:eastAsia="Times New Roman"/>
                <w:b w:val="0"/>
                <w:i w:val="0"/>
                <w:sz w:val="19"/>
              </w:rPr>
              <w:t>5.4 · 8</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20</w:t>
            </w:r>
          </w:p>
        </w:tc>
        <w:tc>
          <w:tcPr>
            <w:tcW w:type="dxa" w:w="5669"/>
          </w:tcPr>
          <w:p>
            <w:pPr>
              <w:spacing w:line="276" w:lineRule="auto" w:after="40"/>
              <w:jc w:val="left"/>
            </w:pPr>
            <w:r/>
            <w:r>
              <w:rPr>
                <w:rFonts w:ascii="Times New Roman" w:hAnsi="Times New Roman" w:cs="Times New Roman" w:eastAsia="Times New Roman"/>
                <w:b w:val="0"/>
                <w:i w:val="0"/>
                <w:sz w:val="19"/>
              </w:rPr>
              <w:t>Critério de exclusão não operacionalizável: «perturbações cognitivas graves» avaliadas por entrevistadores não clínicos, sem instrumento nem procedimento.</w:t>
            </w:r>
          </w:p>
        </w:tc>
        <w:tc>
          <w:tcPr>
            <w:tcW w:type="dxa" w:w="1701"/>
          </w:tcPr>
          <w:p>
            <w:pPr>
              <w:spacing w:line="276" w:lineRule="auto" w:after="40"/>
              <w:jc w:val="left"/>
            </w:pPr>
            <w:r/>
            <w:r>
              <w:rPr>
                <w:rFonts w:ascii="Times New Roman" w:hAnsi="Times New Roman" w:cs="Times New Roman" w:eastAsia="Times New Roman"/>
                <w:b w:val="0"/>
                <w:i w:val="0"/>
                <w:sz w:val="19"/>
              </w:rPr>
              <w:t>7.5.2</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21</w:t>
            </w:r>
          </w:p>
        </w:tc>
        <w:tc>
          <w:tcPr>
            <w:tcW w:type="dxa" w:w="5669"/>
          </w:tcPr>
          <w:p>
            <w:pPr>
              <w:spacing w:line="276" w:lineRule="auto" w:after="40"/>
              <w:jc w:val="left"/>
            </w:pPr>
            <w:r/>
            <w:r>
              <w:rPr>
                <w:rFonts w:ascii="Times New Roman" w:hAnsi="Times New Roman" w:cs="Times New Roman" w:eastAsia="Times New Roman"/>
                <w:b w:val="0"/>
                <w:i w:val="0"/>
                <w:sz w:val="19"/>
              </w:rPr>
              <w:t>Sem plano de controlo de qualidade dos dados: duração e conteúdo da formação, supervisão de campo, verificação de uma fracção das entrevistas e dupla introdução de dados não estão previstos.</w:t>
            </w:r>
          </w:p>
        </w:tc>
        <w:tc>
          <w:tcPr>
            <w:tcW w:type="dxa" w:w="1701"/>
          </w:tcPr>
          <w:p>
            <w:pPr>
              <w:spacing w:line="276" w:lineRule="auto" w:after="40"/>
              <w:jc w:val="left"/>
            </w:pPr>
            <w:r/>
            <w:r>
              <w:rPr>
                <w:rFonts w:ascii="Times New Roman" w:hAnsi="Times New Roman" w:cs="Times New Roman" w:eastAsia="Times New Roman"/>
                <w:b w:val="0"/>
                <w:i w:val="0"/>
                <w:sz w:val="19"/>
              </w:rPr>
              <w:t>7.8 · 7.9</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22</w:t>
            </w:r>
          </w:p>
        </w:tc>
        <w:tc>
          <w:tcPr>
            <w:tcW w:type="dxa" w:w="5669"/>
          </w:tcPr>
          <w:p>
            <w:pPr>
              <w:spacing w:line="276" w:lineRule="auto" w:after="40"/>
              <w:jc w:val="left"/>
            </w:pPr>
            <w:r/>
            <w:r>
              <w:rPr>
                <w:rFonts w:ascii="Times New Roman" w:hAnsi="Times New Roman" w:cs="Times New Roman" w:eastAsia="Times New Roman"/>
                <w:b w:val="0"/>
                <w:i w:val="0"/>
                <w:sz w:val="19"/>
              </w:rPr>
              <w:t>Sem plano para dados em falta, sem critério de entrada de variáveis no modelo multivariável, sem verificação de multicolinearidade e sem teste de ajuste do modelo.</w:t>
            </w:r>
          </w:p>
        </w:tc>
        <w:tc>
          <w:tcPr>
            <w:tcW w:type="dxa" w:w="1701"/>
          </w:tcPr>
          <w:p>
            <w:pPr>
              <w:spacing w:line="276" w:lineRule="auto" w:after="40"/>
              <w:jc w:val="left"/>
            </w:pPr>
            <w:r/>
            <w:r>
              <w:rPr>
                <w:rFonts w:ascii="Times New Roman" w:hAnsi="Times New Roman" w:cs="Times New Roman" w:eastAsia="Times New Roman"/>
                <w:b w:val="0"/>
                <w:i w:val="0"/>
                <w:sz w:val="19"/>
              </w:rPr>
              <w:t>7.9</w:t>
            </w:r>
          </w:p>
        </w:tc>
        <w:tc>
          <w:tcPr>
            <w:tcW w:type="dxa" w:w="1134"/>
          </w:tcPr>
          <w:p>
            <w:pPr>
              <w:spacing w:line="276" w:lineRule="auto" w:after="40"/>
              <w:jc w:val="left"/>
            </w:pPr>
            <w:r/>
            <w:r>
              <w:rPr>
                <w:rFonts w:ascii="Times New Roman" w:hAnsi="Times New Roman" w:cs="Times New Roman" w:eastAsia="Times New Roman"/>
                <w:b/>
                <w:i w:val="0"/>
                <w:color w:val="555555"/>
                <w:sz w:val="19"/>
              </w:rPr>
              <w:t>MÉDIA</w:t>
            </w:r>
          </w:p>
        </w:tc>
      </w:tr>
      <w:tr>
        <w:tc>
          <w:tcPr>
            <w:tcW w:type="dxa" w:w="454"/>
          </w:tcPr>
          <w:p>
            <w:pPr>
              <w:spacing w:line="276" w:lineRule="auto" w:after="40"/>
              <w:jc w:val="left"/>
            </w:pPr>
            <w:r/>
            <w:r>
              <w:rPr>
                <w:rFonts w:ascii="Times New Roman" w:hAnsi="Times New Roman" w:cs="Times New Roman" w:eastAsia="Times New Roman"/>
                <w:b w:val="0"/>
                <w:i w:val="0"/>
                <w:sz w:val="19"/>
              </w:rPr>
              <w:t>23</w:t>
            </w:r>
          </w:p>
        </w:tc>
        <w:tc>
          <w:tcPr>
            <w:tcW w:type="dxa" w:w="5669"/>
          </w:tcPr>
          <w:p>
            <w:pPr>
              <w:spacing w:line="276" w:lineRule="auto" w:after="40"/>
              <w:jc w:val="left"/>
            </w:pPr>
            <w:r/>
            <w:r>
              <w:rPr>
                <w:rFonts w:ascii="Times New Roman" w:hAnsi="Times New Roman" w:cs="Times New Roman" w:eastAsia="Times New Roman"/>
                <w:b w:val="0"/>
                <w:i w:val="0"/>
                <w:sz w:val="19"/>
              </w:rPr>
              <w:t>O estudo é classificado como «de natureza básica» quando é investigação aplicada, destinada a orientar intervenções.</w:t>
            </w:r>
          </w:p>
        </w:tc>
        <w:tc>
          <w:tcPr>
            <w:tcW w:type="dxa" w:w="1701"/>
          </w:tcPr>
          <w:p>
            <w:pPr>
              <w:spacing w:line="276" w:lineRule="auto" w:after="40"/>
              <w:jc w:val="left"/>
            </w:pPr>
            <w:r/>
            <w:r>
              <w:rPr>
                <w:rFonts w:ascii="Times New Roman" w:hAnsi="Times New Roman" w:cs="Times New Roman" w:eastAsia="Times New Roman"/>
                <w:b w:val="0"/>
                <w:i w:val="0"/>
                <w:sz w:val="19"/>
              </w:rPr>
              <w:t>7.1</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r>
        <w:tc>
          <w:tcPr>
            <w:tcW w:type="dxa" w:w="454"/>
          </w:tcPr>
          <w:p>
            <w:pPr>
              <w:spacing w:line="276" w:lineRule="auto" w:after="40"/>
              <w:jc w:val="left"/>
            </w:pPr>
            <w:r/>
            <w:r>
              <w:rPr>
                <w:rFonts w:ascii="Times New Roman" w:hAnsi="Times New Roman" w:cs="Times New Roman" w:eastAsia="Times New Roman"/>
                <w:b w:val="0"/>
                <w:i w:val="0"/>
                <w:sz w:val="19"/>
              </w:rPr>
              <w:t>24</w:t>
            </w:r>
          </w:p>
        </w:tc>
        <w:tc>
          <w:tcPr>
            <w:tcW w:type="dxa" w:w="5669"/>
          </w:tcPr>
          <w:p>
            <w:pPr>
              <w:spacing w:line="276" w:lineRule="auto" w:after="40"/>
              <w:jc w:val="left"/>
            </w:pPr>
            <w:r/>
            <w:r>
              <w:rPr>
                <w:rFonts w:ascii="Times New Roman" w:hAnsi="Times New Roman" w:cs="Times New Roman" w:eastAsia="Times New Roman"/>
                <w:b w:val="0"/>
                <w:i w:val="0"/>
                <w:sz w:val="19"/>
              </w:rPr>
              <w:t>Dezasseis siglas listadas nunca são usadas no corpo do texto: AV, CNBS, CSC, CVI, DMRI, eCSC, FCS, GBD, IC, INE, IPEC, KR-20, MISAU, TCLE, TF, TT e WHA.</w:t>
            </w:r>
          </w:p>
        </w:tc>
        <w:tc>
          <w:tcPr>
            <w:tcW w:type="dxa" w:w="1701"/>
          </w:tcPr>
          <w:p>
            <w:pPr>
              <w:spacing w:line="276" w:lineRule="auto" w:after="40"/>
              <w:jc w:val="left"/>
            </w:pPr>
            <w:r/>
            <w:r>
              <w:rPr>
                <w:rFonts w:ascii="Times New Roman" w:hAnsi="Times New Roman" w:cs="Times New Roman" w:eastAsia="Times New Roman"/>
                <w:b w:val="0"/>
                <w:i w:val="0"/>
                <w:sz w:val="19"/>
              </w:rPr>
              <w:t>Lista de abreviaturas</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r>
        <w:tc>
          <w:tcPr>
            <w:tcW w:type="dxa" w:w="454"/>
          </w:tcPr>
          <w:p>
            <w:pPr>
              <w:spacing w:line="276" w:lineRule="auto" w:after="40"/>
              <w:jc w:val="left"/>
            </w:pPr>
            <w:r/>
            <w:r>
              <w:rPr>
                <w:rFonts w:ascii="Times New Roman" w:hAnsi="Times New Roman" w:cs="Times New Roman" w:eastAsia="Times New Roman"/>
                <w:b w:val="0"/>
                <w:i w:val="0"/>
                <w:sz w:val="19"/>
              </w:rPr>
              <w:t>25</w:t>
            </w:r>
          </w:p>
        </w:tc>
        <w:tc>
          <w:tcPr>
            <w:tcW w:type="dxa" w:w="5669"/>
          </w:tcPr>
          <w:p>
            <w:pPr>
              <w:spacing w:line="276" w:lineRule="auto" w:after="40"/>
              <w:jc w:val="left"/>
            </w:pPr>
            <w:r/>
            <w:r>
              <w:rPr>
                <w:rFonts w:ascii="Times New Roman" w:hAnsi="Times New Roman" w:cs="Times New Roman" w:eastAsia="Times New Roman"/>
                <w:b w:val="0"/>
                <w:i w:val="0"/>
                <w:sz w:val="19"/>
              </w:rPr>
              <w:t>Citação desalinhada: a referência 56 (recurso educativo do National Eye Institute) é citada em apoio da avaliação da fiabilidade do instrumento.</w:t>
            </w:r>
          </w:p>
        </w:tc>
        <w:tc>
          <w:tcPr>
            <w:tcW w:type="dxa" w:w="1701"/>
          </w:tcPr>
          <w:p>
            <w:pPr>
              <w:spacing w:line="276" w:lineRule="auto" w:after="40"/>
              <w:jc w:val="left"/>
            </w:pPr>
            <w:r/>
            <w:r>
              <w:rPr>
                <w:rFonts w:ascii="Times New Roman" w:hAnsi="Times New Roman" w:cs="Times New Roman" w:eastAsia="Times New Roman"/>
                <w:b w:val="0"/>
                <w:i w:val="0"/>
                <w:sz w:val="19"/>
              </w:rPr>
              <w:t>7.7</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r>
        <w:tc>
          <w:tcPr>
            <w:tcW w:type="dxa" w:w="454"/>
          </w:tcPr>
          <w:p>
            <w:pPr>
              <w:spacing w:line="276" w:lineRule="auto" w:after="40"/>
              <w:jc w:val="left"/>
            </w:pPr>
            <w:r/>
            <w:r>
              <w:rPr>
                <w:rFonts w:ascii="Times New Roman" w:hAnsi="Times New Roman" w:cs="Times New Roman" w:eastAsia="Times New Roman"/>
                <w:b w:val="0"/>
                <w:i w:val="0"/>
                <w:sz w:val="19"/>
              </w:rPr>
              <w:t>26</w:t>
            </w:r>
          </w:p>
        </w:tc>
        <w:tc>
          <w:tcPr>
            <w:tcW w:type="dxa" w:w="5669"/>
          </w:tcPr>
          <w:p>
            <w:pPr>
              <w:spacing w:line="276" w:lineRule="auto" w:after="40"/>
              <w:jc w:val="left"/>
            </w:pPr>
            <w:r/>
            <w:r>
              <w:rPr>
                <w:rFonts w:ascii="Times New Roman" w:hAnsi="Times New Roman" w:cs="Times New Roman" w:eastAsia="Times New Roman"/>
                <w:b w:val="0"/>
                <w:i w:val="0"/>
                <w:sz w:val="19"/>
              </w:rPr>
              <w:t>O glaucoma consta da delimitação do estudo como uma das cinco causas visadas, mas não tem item próprio no questionário — aparece apenas numa lista.</w:t>
            </w:r>
          </w:p>
        </w:tc>
        <w:tc>
          <w:tcPr>
            <w:tcW w:type="dxa" w:w="1701"/>
          </w:tcPr>
          <w:p>
            <w:pPr>
              <w:spacing w:line="276" w:lineRule="auto" w:after="40"/>
              <w:jc w:val="left"/>
            </w:pPr>
            <w:r/>
            <w:r>
              <w:rPr>
                <w:rFonts w:ascii="Times New Roman" w:hAnsi="Times New Roman" w:cs="Times New Roman" w:eastAsia="Times New Roman"/>
                <w:b w:val="0"/>
                <w:i w:val="0"/>
                <w:sz w:val="19"/>
              </w:rPr>
              <w:t>2.1 · Ap. A</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r>
        <w:tc>
          <w:tcPr>
            <w:tcW w:type="dxa" w:w="454"/>
          </w:tcPr>
          <w:p>
            <w:pPr>
              <w:spacing w:line="276" w:lineRule="auto" w:after="40"/>
              <w:jc w:val="left"/>
            </w:pPr>
            <w:r/>
            <w:r>
              <w:rPr>
                <w:rFonts w:ascii="Times New Roman" w:hAnsi="Times New Roman" w:cs="Times New Roman" w:eastAsia="Times New Roman"/>
                <w:b w:val="0"/>
                <w:i w:val="0"/>
                <w:sz w:val="19"/>
              </w:rPr>
              <w:t>27</w:t>
            </w:r>
          </w:p>
        </w:tc>
        <w:tc>
          <w:tcPr>
            <w:tcW w:type="dxa" w:w="5669"/>
          </w:tcPr>
          <w:p>
            <w:pPr>
              <w:spacing w:line="276" w:lineRule="auto" w:after="40"/>
              <w:jc w:val="left"/>
            </w:pPr>
            <w:r/>
            <w:r>
              <w:rPr>
                <w:rFonts w:ascii="Times New Roman" w:hAnsi="Times New Roman" w:cs="Times New Roman" w:eastAsia="Times New Roman"/>
                <w:b w:val="0"/>
                <w:i w:val="0"/>
                <w:sz w:val="19"/>
              </w:rPr>
              <w:t>Contactos do investigador em branco na folha de informação ao participante (telefone e correio electrónico).</w:t>
            </w:r>
          </w:p>
        </w:tc>
        <w:tc>
          <w:tcPr>
            <w:tcW w:type="dxa" w:w="1701"/>
          </w:tcPr>
          <w:p>
            <w:pPr>
              <w:spacing w:line="276" w:lineRule="auto" w:after="40"/>
              <w:jc w:val="left"/>
            </w:pPr>
            <w:r/>
            <w:r>
              <w:rPr>
                <w:rFonts w:ascii="Times New Roman" w:hAnsi="Times New Roman" w:cs="Times New Roman" w:eastAsia="Times New Roman"/>
                <w:b w:val="0"/>
                <w:i w:val="0"/>
                <w:sz w:val="19"/>
              </w:rPr>
              <w:t>Ap. B</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r>
        <w:tc>
          <w:tcPr>
            <w:tcW w:type="dxa" w:w="454"/>
          </w:tcPr>
          <w:p>
            <w:pPr>
              <w:spacing w:line="276" w:lineRule="auto" w:after="40"/>
              <w:jc w:val="left"/>
            </w:pPr>
            <w:r/>
            <w:r>
              <w:rPr>
                <w:rFonts w:ascii="Times New Roman" w:hAnsi="Times New Roman" w:cs="Times New Roman" w:eastAsia="Times New Roman"/>
                <w:b w:val="0"/>
                <w:i w:val="0"/>
                <w:sz w:val="19"/>
              </w:rPr>
              <w:t>28</w:t>
            </w:r>
          </w:p>
        </w:tc>
        <w:tc>
          <w:tcPr>
            <w:tcW w:type="dxa" w:w="5669"/>
          </w:tcPr>
          <w:p>
            <w:pPr>
              <w:spacing w:line="276" w:lineRule="auto" w:after="40"/>
              <w:jc w:val="left"/>
            </w:pPr>
            <w:r/>
            <w:r>
              <w:rPr>
                <w:rFonts w:ascii="Times New Roman" w:hAnsi="Times New Roman" w:cs="Times New Roman" w:eastAsia="Times New Roman"/>
                <w:b w:val="0"/>
                <w:i w:val="0"/>
                <w:sz w:val="19"/>
              </w:rPr>
              <w:t>Metadados do ficheiro identificam «python-docx» como autor e «generated by python-docx» como descrição. Sem consequência científica, mas deve ser limpo antes da submissão.</w:t>
            </w:r>
          </w:p>
        </w:tc>
        <w:tc>
          <w:tcPr>
            <w:tcW w:type="dxa" w:w="1701"/>
          </w:tcPr>
          <w:p>
            <w:pPr>
              <w:spacing w:line="276" w:lineRule="auto" w:after="40"/>
              <w:jc w:val="left"/>
            </w:pPr>
            <w:r/>
            <w:r>
              <w:rPr>
                <w:rFonts w:ascii="Times New Roman" w:hAnsi="Times New Roman" w:cs="Times New Roman" w:eastAsia="Times New Roman"/>
                <w:b w:val="0"/>
                <w:i w:val="0"/>
                <w:sz w:val="19"/>
              </w:rPr>
              <w:t>propriedades do ficheiro</w:t>
            </w:r>
          </w:p>
        </w:tc>
        <w:tc>
          <w:tcPr>
            <w:tcW w:type="dxa" w:w="1134"/>
          </w:tcPr>
          <w:p>
            <w:pPr>
              <w:spacing w:line="276" w:lineRule="auto" w:after="40"/>
              <w:jc w:val="left"/>
            </w:pPr>
            <w:r/>
            <w:r>
              <w:rPr>
                <w:rFonts w:ascii="Times New Roman" w:hAnsi="Times New Roman" w:cs="Times New Roman" w:eastAsia="Times New Roman"/>
                <w:b/>
                <w:i w:val="0"/>
                <w:color w:val="1E6B3A"/>
                <w:sz w:val="19"/>
              </w:rPr>
              <w:t>BAIXA</w:t>
            </w:r>
          </w:p>
        </w:tc>
      </w:tr>
    </w:tbl>
    <w:p>
      <w:pPr>
        <w:spacing w:line="276" w:lineRule="auto" w:before="0" w:after="120"/>
        <w:jc w:val="both"/>
      </w:pPr>
    </w:p>
    <w:tbl>
      <w:tblPr>
        <w:tblStyle w:val="TableGrid"/>
        <w:tblW w:type="auto" w:w="0"/>
        <w:tblLook w:firstColumn="1" w:firstRow="1" w:lastColumn="0" w:lastRow="0" w:noHBand="0" w:noVBand="1" w:val="04A0"/>
      </w:tblPr>
      <w:tblGrid>
        <w:gridCol w:w="9746"/>
      </w:tblGrid>
      <w:tr>
        <w:tc>
          <w:tcPr>
            <w:tcW w:type="dxa" w:w="9746"/>
            <w:shd w:val="clear" w:color="auto" w:fill="F4F4F4"/>
          </w:tcPr>
          <w:p>
            <w:pPr>
              <w:spacing w:line="276" w:lineRule="auto"/>
              <w:jc w:val="both"/>
            </w:pPr>
            <w:r/>
            <w:r>
              <w:rPr>
                <w:rFonts w:ascii="Times New Roman" w:hAnsi="Times New Roman" w:cs="Times New Roman" w:eastAsia="Times New Roman"/>
                <w:b/>
                <w:i w:val="0"/>
                <w:color w:val="555555"/>
                <w:sz w:val="20"/>
              </w:rPr>
              <w:t xml:space="preserve">NOTA SOBRE VESTÍGIOS DE GERAÇÃO AUTOMÁTICA  </w:t>
            </w:r>
            <w:r>
              <w:rPr>
                <w:rFonts w:ascii="Times New Roman" w:hAnsi="Times New Roman" w:cs="Times New Roman" w:eastAsia="Times New Roman"/>
                <w:b w:val="0"/>
                <w:i w:val="0"/>
                <w:sz w:val="20"/>
              </w:rPr>
              <w:t>A verificação do documento não encontrou nenhum dos vestígios típicos de colagem directa de resposta de modelo generativo: não existem estilos anómalos (todos os parágrafos usam Normal, List Bullet ou os três níveis de Heading), não há URLs com parâmetros de rastreio de plataformas conversacionais, não há caixas de texto nem campos de código. As propriedades do ficheiro registam, no entanto, «python-docx» como criador e «generated by python-docx» como descrição, o que indica que o documento foi montado por script e posteriormente editado no Word. É um facto neutro do ponto de vista da integridade académica, mas os metadados devem ser limpos antes da submissão.</w:t>
            </w:r>
          </w:p>
        </w:tc>
      </w:tr>
    </w:tbl>
    <w:p>
      <w:pPr>
        <w:spacing w:line="276" w:lineRule="auto" w:before="0" w:after="120"/>
        <w:jc w:val="both"/>
      </w:pPr>
    </w:p>
    <w:p>
      <w:r>
        <w:br w:type="page"/>
      </w:r>
    </w:p>
    <w:p>
      <w:pPr>
        <w:spacing w:line="276" w:lineRule="auto" w:before="280" w:after="120"/>
        <w:jc w:val="left"/>
      </w:pPr>
      <w:r>
        <w:rPr>
          <w:rFonts w:ascii="Times New Roman" w:hAnsi="Times New Roman" w:cs="Times New Roman" w:eastAsia="Times New Roman"/>
          <w:b/>
          <w:i w:val="0"/>
          <w:color w:val="1F3B57"/>
          <w:sz w:val="26"/>
        </w:rPr>
        <w:t>As 10 perguntas mais prováveis</w:t>
      </w:r>
    </w:p>
    <w:p>
      <w:pPr>
        <w:spacing w:line="276" w:lineRule="auto" w:before="0" w:after="80"/>
        <w:jc w:val="both"/>
      </w:pPr>
      <w:r>
        <w:rPr>
          <w:rFonts w:ascii="Times New Roman" w:hAnsi="Times New Roman" w:cs="Times New Roman" w:eastAsia="Times New Roman"/>
          <w:b w:val="0"/>
          <w:i w:val="0"/>
          <w:sz w:val="20"/>
        </w:rPr>
        <w:t>Se tiver tempo para preparar dez respostas e não setenta e oito, prepare estas. Foram seleccionadas por combinarem alta probabilidade de serem feitas com alto dano se forem mal respondidas.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1F3B57"/>
          </w:tcPr>
          <w:p>
            <w:pPr>
              <w:spacing w:line="276" w:lineRule="auto" w:after="40"/>
              <w:jc w:val="left"/>
            </w:pPr>
            <w:r/>
            <w:r>
              <w:rPr>
                <w:rFonts w:ascii="Times New Roman" w:hAnsi="Times New Roman" w:cs="Times New Roman" w:eastAsia="Times New Roman"/>
                <w:b/>
                <w:i w:val="0"/>
                <w:color w:val="FFFFFF"/>
                <w:sz w:val="19"/>
              </w:rPr>
              <w:t>#</w:t>
            </w:r>
          </w:p>
        </w:tc>
        <w:tc>
          <w:tcPr>
            <w:tcW w:type="dxa" w:w="3061"/>
            <w:shd w:val="clear" w:color="auto" w:fill="1F3B57"/>
          </w:tcPr>
          <w:p>
            <w:pPr>
              <w:spacing w:line="276" w:lineRule="auto" w:after="40"/>
              <w:jc w:val="left"/>
            </w:pPr>
            <w:r/>
            <w:r>
              <w:rPr>
                <w:rFonts w:ascii="Times New Roman" w:hAnsi="Times New Roman" w:cs="Times New Roman" w:eastAsia="Times New Roman"/>
                <w:b/>
                <w:i w:val="0"/>
                <w:color w:val="FFFFFF"/>
                <w:sz w:val="19"/>
              </w:rPr>
              <w:t>Pergunta</w:t>
            </w:r>
          </w:p>
        </w:tc>
        <w:tc>
          <w:tcPr>
            <w:tcW w:type="dxa" w:w="907"/>
            <w:shd w:val="clear" w:color="auto" w:fill="1F3B57"/>
          </w:tcPr>
          <w:p>
            <w:pPr>
              <w:spacing w:line="276" w:lineRule="auto" w:after="40"/>
              <w:jc w:val="left"/>
            </w:pPr>
            <w:r/>
            <w:r>
              <w:rPr>
                <w:rFonts w:ascii="Times New Roman" w:hAnsi="Times New Roman" w:cs="Times New Roman" w:eastAsia="Times New Roman"/>
                <w:b/>
                <w:i w:val="0"/>
                <w:color w:val="FFFFFF"/>
                <w:sz w:val="19"/>
              </w:rPr>
              <w:t>Ref.</w:t>
            </w:r>
          </w:p>
        </w:tc>
        <w:tc>
          <w:tcPr>
            <w:tcW w:type="dxa" w:w="4535"/>
            <w:shd w:val="clear" w:color="auto" w:fill="1F3B57"/>
          </w:tcPr>
          <w:p>
            <w:pPr>
              <w:spacing w:line="276" w:lineRule="auto" w:after="40"/>
              <w:jc w:val="left"/>
            </w:pPr>
            <w:r/>
            <w:r>
              <w:rPr>
                <w:rFonts w:ascii="Times New Roman" w:hAnsi="Times New Roman" w:cs="Times New Roman" w:eastAsia="Times New Roman"/>
                <w:b/>
                <w:i w:val="0"/>
                <w:color w:val="FFFFFF"/>
                <w:sz w:val="19"/>
              </w:rPr>
              <w:t>Porque é a mais provável</w:t>
            </w:r>
          </w:p>
        </w:tc>
      </w:tr>
      <w:tr>
        <w:tc>
          <w:tcPr>
            <w:tcW w:type="dxa" w:w="454"/>
          </w:tcPr>
          <w:p>
            <w:pPr>
              <w:spacing w:line="276" w:lineRule="auto" w:after="40"/>
              <w:jc w:val="left"/>
            </w:pPr>
            <w:r/>
            <w:r>
              <w:rPr>
                <w:rFonts w:ascii="Times New Roman" w:hAnsi="Times New Roman" w:cs="Times New Roman" w:eastAsia="Times New Roman"/>
                <w:b w:val="0"/>
                <w:i w:val="0"/>
                <w:sz w:val="19"/>
              </w:rPr>
              <w:t>1</w:t>
            </w:r>
          </w:p>
        </w:tc>
        <w:tc>
          <w:tcPr>
            <w:tcW w:type="dxa" w:w="3061"/>
          </w:tcPr>
          <w:p>
            <w:pPr>
              <w:spacing w:line="276" w:lineRule="auto" w:after="40"/>
              <w:jc w:val="left"/>
            </w:pPr>
            <w:r/>
            <w:r>
              <w:rPr>
                <w:rFonts w:ascii="Times New Roman" w:hAnsi="Times New Roman" w:cs="Times New Roman" w:eastAsia="Times New Roman"/>
                <w:b w:val="0"/>
                <w:i w:val="0"/>
                <w:sz w:val="19"/>
              </w:rPr>
              <w:t>Qual é o tamanho da sua amostra e como o calculou?</w:t>
            </w:r>
          </w:p>
        </w:tc>
        <w:tc>
          <w:tcPr>
            <w:tcW w:type="dxa" w:w="907"/>
          </w:tcPr>
          <w:p>
            <w:pPr>
              <w:spacing w:line="276" w:lineRule="auto" w:after="40"/>
              <w:jc w:val="left"/>
            </w:pPr>
            <w:r/>
            <w:r>
              <w:rPr>
                <w:rFonts w:ascii="Times New Roman" w:hAnsi="Times New Roman" w:cs="Times New Roman" w:eastAsia="Times New Roman"/>
                <w:b w:val="0"/>
                <w:i w:val="0"/>
                <w:sz w:val="19"/>
              </w:rPr>
              <w:t>P26 · P27</w:t>
            </w:r>
          </w:p>
        </w:tc>
        <w:tc>
          <w:tcPr>
            <w:tcW w:type="dxa" w:w="4535"/>
          </w:tcPr>
          <w:p>
            <w:pPr>
              <w:spacing w:line="276" w:lineRule="auto" w:after="40"/>
              <w:jc w:val="left"/>
            </w:pPr>
            <w:r/>
            <w:r>
              <w:rPr>
                <w:rFonts w:ascii="Times New Roman" w:hAnsi="Times New Roman" w:cs="Times New Roman" w:eastAsia="Times New Roman"/>
                <w:b w:val="0"/>
                <w:i w:val="0"/>
                <w:sz w:val="19"/>
              </w:rPr>
              <w:t>A secção 7.4 apresenta a fórmula e termina nela. É a lacuna mais visível do protocolo e a pergunta mais previsível de qualquer defesa de projecto. Um júri que abra o documento na metodologia vê-a em cinco segundos.</w:t>
            </w:r>
          </w:p>
        </w:tc>
      </w:tr>
      <w:tr>
        <w:tc>
          <w:tcPr>
            <w:tcW w:type="dxa" w:w="454"/>
          </w:tcPr>
          <w:p>
            <w:pPr>
              <w:spacing w:line="276" w:lineRule="auto" w:after="40"/>
              <w:jc w:val="left"/>
            </w:pPr>
            <w:r/>
            <w:r>
              <w:rPr>
                <w:rFonts w:ascii="Times New Roman" w:hAnsi="Times New Roman" w:cs="Times New Roman" w:eastAsia="Times New Roman"/>
                <w:b w:val="0"/>
                <w:i w:val="0"/>
                <w:sz w:val="19"/>
              </w:rPr>
              <w:t>2</w:t>
            </w:r>
          </w:p>
        </w:tc>
        <w:tc>
          <w:tcPr>
            <w:tcW w:type="dxa" w:w="3061"/>
          </w:tcPr>
          <w:p>
            <w:pPr>
              <w:spacing w:line="276" w:lineRule="auto" w:after="40"/>
              <w:jc w:val="left"/>
            </w:pPr>
            <w:r/>
            <w:r>
              <w:rPr>
                <w:rFonts w:ascii="Times New Roman" w:hAnsi="Times New Roman" w:cs="Times New Roman" w:eastAsia="Times New Roman"/>
                <w:b w:val="0"/>
                <w:i w:val="0"/>
                <w:sz w:val="19"/>
              </w:rPr>
              <w:t>As suas hipóteses falam de conhecimento e a sua análise fala de práticas. Qual é o desfecho?</w:t>
            </w:r>
          </w:p>
        </w:tc>
        <w:tc>
          <w:tcPr>
            <w:tcW w:type="dxa" w:w="907"/>
          </w:tcPr>
          <w:p>
            <w:pPr>
              <w:spacing w:line="276" w:lineRule="auto" w:after="40"/>
              <w:jc w:val="left"/>
            </w:pPr>
            <w:r/>
            <w:r>
              <w:rPr>
                <w:rFonts w:ascii="Times New Roman" w:hAnsi="Times New Roman" w:cs="Times New Roman" w:eastAsia="Times New Roman"/>
                <w:b w:val="0"/>
                <w:i w:val="0"/>
                <w:sz w:val="19"/>
              </w:rPr>
              <w:t>P10</w:t>
            </w:r>
          </w:p>
        </w:tc>
        <w:tc>
          <w:tcPr>
            <w:tcW w:type="dxa" w:w="4535"/>
          </w:tcPr>
          <w:p>
            <w:pPr>
              <w:spacing w:line="276" w:lineRule="auto" w:after="40"/>
              <w:jc w:val="left"/>
            </w:pPr>
            <w:r/>
            <w:r>
              <w:rPr>
                <w:rFonts w:ascii="Times New Roman" w:hAnsi="Times New Roman" w:cs="Times New Roman" w:eastAsia="Times New Roman"/>
                <w:b w:val="0"/>
                <w:i w:val="0"/>
                <w:sz w:val="19"/>
              </w:rPr>
              <w:t>Incoerência interna detectável comparando duas páginas. É a falha lógica mais fácil de encontrar e a mais embaraçosa se não estiver preparada.</w:t>
            </w:r>
          </w:p>
        </w:tc>
      </w:tr>
      <w:tr>
        <w:tc>
          <w:tcPr>
            <w:tcW w:type="dxa" w:w="454"/>
          </w:tcPr>
          <w:p>
            <w:pPr>
              <w:spacing w:line="276" w:lineRule="auto" w:after="40"/>
              <w:jc w:val="left"/>
            </w:pPr>
            <w:r/>
            <w:r>
              <w:rPr>
                <w:rFonts w:ascii="Times New Roman" w:hAnsi="Times New Roman" w:cs="Times New Roman" w:eastAsia="Times New Roman"/>
                <w:b w:val="0"/>
                <w:i w:val="0"/>
                <w:sz w:val="19"/>
              </w:rPr>
              <w:t>3</w:t>
            </w:r>
          </w:p>
        </w:tc>
        <w:tc>
          <w:tcPr>
            <w:tcW w:type="dxa" w:w="3061"/>
          </w:tcPr>
          <w:p>
            <w:pPr>
              <w:spacing w:line="276" w:lineRule="auto" w:after="40"/>
              <w:jc w:val="left"/>
            </w:pPr>
            <w:r/>
            <w:r>
              <w:rPr>
                <w:rFonts w:ascii="Times New Roman" w:hAnsi="Times New Roman" w:cs="Times New Roman" w:eastAsia="Times New Roman"/>
                <w:b w:val="0"/>
                <w:i w:val="0"/>
                <w:sz w:val="19"/>
              </w:rPr>
              <w:t>A sua amostragem é por conglomerados. Como ajusta a análise a esse desenho?</w:t>
            </w:r>
          </w:p>
        </w:tc>
        <w:tc>
          <w:tcPr>
            <w:tcW w:type="dxa" w:w="907"/>
          </w:tcPr>
          <w:p>
            <w:pPr>
              <w:spacing w:line="276" w:lineRule="auto" w:after="40"/>
              <w:jc w:val="left"/>
            </w:pPr>
            <w:r/>
            <w:r>
              <w:rPr>
                <w:rFonts w:ascii="Times New Roman" w:hAnsi="Times New Roman" w:cs="Times New Roman" w:eastAsia="Times New Roman"/>
                <w:b w:val="0"/>
                <w:i w:val="0"/>
                <w:sz w:val="19"/>
              </w:rPr>
              <w:t>P51 · P29</w:t>
            </w:r>
          </w:p>
        </w:tc>
        <w:tc>
          <w:tcPr>
            <w:tcW w:type="dxa" w:w="4535"/>
          </w:tcPr>
          <w:p>
            <w:pPr>
              <w:spacing w:line="276" w:lineRule="auto" w:after="40"/>
              <w:jc w:val="left"/>
            </w:pPr>
            <w:r/>
            <w:r>
              <w:rPr>
                <w:rFonts w:ascii="Times New Roman" w:hAnsi="Times New Roman" w:cs="Times New Roman" w:eastAsia="Times New Roman"/>
                <w:b w:val="0"/>
                <w:i w:val="0"/>
                <w:sz w:val="19"/>
              </w:rPr>
              <w:t>É o erro metodológico que qualquer avaliador com formação em bioestatística procura assim que lê «amostragem por conglomerados». O protocolo prevê análise que assume independência.</w:t>
            </w:r>
          </w:p>
        </w:tc>
      </w:tr>
      <w:tr>
        <w:tc>
          <w:tcPr>
            <w:tcW w:type="dxa" w:w="454"/>
          </w:tcPr>
          <w:p>
            <w:pPr>
              <w:spacing w:line="276" w:lineRule="auto" w:after="40"/>
              <w:jc w:val="left"/>
            </w:pPr>
            <w:r/>
            <w:r>
              <w:rPr>
                <w:rFonts w:ascii="Times New Roman" w:hAnsi="Times New Roman" w:cs="Times New Roman" w:eastAsia="Times New Roman"/>
                <w:b w:val="0"/>
                <w:i w:val="0"/>
                <w:sz w:val="19"/>
              </w:rPr>
              <w:t>4</w:t>
            </w:r>
          </w:p>
        </w:tc>
        <w:tc>
          <w:tcPr>
            <w:tcW w:type="dxa" w:w="3061"/>
          </w:tcPr>
          <w:p>
            <w:pPr>
              <w:spacing w:line="276" w:lineRule="auto" w:after="40"/>
              <w:jc w:val="left"/>
            </w:pPr>
            <w:r/>
            <w:r>
              <w:rPr>
                <w:rFonts w:ascii="Times New Roman" w:hAnsi="Times New Roman" w:cs="Times New Roman" w:eastAsia="Times New Roman"/>
                <w:b w:val="0"/>
                <w:i w:val="0"/>
                <w:sz w:val="19"/>
              </w:rPr>
              <w:t>A recolha é em Emakhuwa e o questionário está em português. Onde está a versão traduzida?</w:t>
            </w:r>
          </w:p>
        </w:tc>
        <w:tc>
          <w:tcPr>
            <w:tcW w:type="dxa" w:w="907"/>
          </w:tcPr>
          <w:p>
            <w:pPr>
              <w:spacing w:line="276" w:lineRule="auto" w:after="40"/>
              <w:jc w:val="left"/>
            </w:pPr>
            <w:r/>
            <w:r>
              <w:rPr>
                <w:rFonts w:ascii="Times New Roman" w:hAnsi="Times New Roman" w:cs="Times New Roman" w:eastAsia="Times New Roman"/>
                <w:b w:val="0"/>
                <w:i w:val="0"/>
                <w:sz w:val="19"/>
              </w:rPr>
              <w:t>P44</w:t>
            </w:r>
          </w:p>
        </w:tc>
        <w:tc>
          <w:tcPr>
            <w:tcW w:type="dxa" w:w="4535"/>
          </w:tcPr>
          <w:p>
            <w:pPr>
              <w:spacing w:line="276" w:lineRule="auto" w:after="40"/>
              <w:jc w:val="left"/>
            </w:pPr>
            <w:r/>
            <w:r>
              <w:rPr>
                <w:rFonts w:ascii="Times New Roman" w:hAnsi="Times New Roman" w:cs="Times New Roman" w:eastAsia="Times New Roman"/>
                <w:b w:val="0"/>
                <w:i w:val="0"/>
                <w:sz w:val="19"/>
              </w:rPr>
              <w:t>Contradição operacional evidente entre a secção 7.8 e o Apêndice A. Compromete a validade de toda a medição e um comité de ética também a levantará.</w:t>
            </w:r>
          </w:p>
        </w:tc>
      </w:tr>
      <w:tr>
        <w:tc>
          <w:tcPr>
            <w:tcW w:type="dxa" w:w="454"/>
          </w:tcPr>
          <w:p>
            <w:pPr>
              <w:spacing w:line="276" w:lineRule="auto" w:after="40"/>
              <w:jc w:val="left"/>
            </w:pPr>
            <w:r/>
            <w:r>
              <w:rPr>
                <w:rFonts w:ascii="Times New Roman" w:hAnsi="Times New Roman" w:cs="Times New Roman" w:eastAsia="Times New Roman"/>
                <w:b w:val="0"/>
                <w:i w:val="0"/>
                <w:sz w:val="19"/>
              </w:rPr>
              <w:t>5</w:t>
            </w:r>
          </w:p>
        </w:tc>
        <w:tc>
          <w:tcPr>
            <w:tcW w:type="dxa" w:w="3061"/>
          </w:tcPr>
          <w:p>
            <w:pPr>
              <w:spacing w:line="276" w:lineRule="auto" w:after="40"/>
              <w:jc w:val="left"/>
            </w:pPr>
            <w:r/>
            <w:r>
              <w:rPr>
                <w:rFonts w:ascii="Times New Roman" w:hAnsi="Times New Roman" w:cs="Times New Roman" w:eastAsia="Times New Roman"/>
                <w:b w:val="0"/>
                <w:i w:val="0"/>
                <w:sz w:val="19"/>
              </w:rPr>
              <w:t>Qual é a pontuação máxima do conhecimento e como pontua os itens de resposta múltipla?</w:t>
            </w:r>
          </w:p>
        </w:tc>
        <w:tc>
          <w:tcPr>
            <w:tcW w:type="dxa" w:w="907"/>
          </w:tcPr>
          <w:p>
            <w:pPr>
              <w:spacing w:line="276" w:lineRule="auto" w:after="40"/>
              <w:jc w:val="left"/>
            </w:pPr>
            <w:r/>
            <w:r>
              <w:rPr>
                <w:rFonts w:ascii="Times New Roman" w:hAnsi="Times New Roman" w:cs="Times New Roman" w:eastAsia="Times New Roman"/>
                <w:b w:val="0"/>
                <w:i w:val="0"/>
                <w:sz w:val="19"/>
              </w:rPr>
              <w:t>P39</w:t>
            </w:r>
          </w:p>
        </w:tc>
        <w:tc>
          <w:tcPr>
            <w:tcW w:type="dxa" w:w="4535"/>
          </w:tcPr>
          <w:p>
            <w:pPr>
              <w:spacing w:line="276" w:lineRule="auto" w:after="40"/>
              <w:jc w:val="left"/>
            </w:pPr>
            <w:r/>
            <w:r>
              <w:rPr>
                <w:rFonts w:ascii="Times New Roman" w:hAnsi="Times New Roman" w:cs="Times New Roman" w:eastAsia="Times New Roman"/>
                <w:b w:val="0"/>
                <w:i w:val="0"/>
                <w:sz w:val="19"/>
              </w:rPr>
              <w:t>O protocolo invoca os pontos de corte de Bloom sem chave de correcção. Sem ela, o corte de 80 % não significa nada e o estudo não é replicável.</w:t>
            </w:r>
          </w:p>
        </w:tc>
      </w:tr>
      <w:tr>
        <w:tc>
          <w:tcPr>
            <w:tcW w:type="dxa" w:w="454"/>
          </w:tcPr>
          <w:p>
            <w:pPr>
              <w:spacing w:line="276" w:lineRule="auto" w:after="40"/>
              <w:jc w:val="left"/>
            </w:pPr>
            <w:r/>
            <w:r>
              <w:rPr>
                <w:rFonts w:ascii="Times New Roman" w:hAnsi="Times New Roman" w:cs="Times New Roman" w:eastAsia="Times New Roman"/>
                <w:b w:val="0"/>
                <w:i w:val="0"/>
                <w:sz w:val="19"/>
              </w:rPr>
              <w:t>6</w:t>
            </w:r>
          </w:p>
        </w:tc>
        <w:tc>
          <w:tcPr>
            <w:tcW w:type="dxa" w:w="3061"/>
          </w:tcPr>
          <w:p>
            <w:pPr>
              <w:spacing w:line="276" w:lineRule="auto" w:after="40"/>
              <w:jc w:val="left"/>
            </w:pPr>
            <w:r/>
            <w:r>
              <w:rPr>
                <w:rFonts w:ascii="Times New Roman" w:hAnsi="Times New Roman" w:cs="Times New Roman" w:eastAsia="Times New Roman"/>
                <w:b w:val="0"/>
                <w:i w:val="0"/>
                <w:sz w:val="19"/>
              </w:rPr>
              <w:t>Quais são as limitações deste estudo?</w:t>
            </w:r>
          </w:p>
        </w:tc>
        <w:tc>
          <w:tcPr>
            <w:tcW w:type="dxa" w:w="907"/>
          </w:tcPr>
          <w:p>
            <w:pPr>
              <w:spacing w:line="276" w:lineRule="auto" w:after="40"/>
              <w:jc w:val="left"/>
            </w:pPr>
            <w:r/>
            <w:r>
              <w:rPr>
                <w:rFonts w:ascii="Times New Roman" w:hAnsi="Times New Roman" w:cs="Times New Roman" w:eastAsia="Times New Roman"/>
                <w:b w:val="0"/>
                <w:i w:val="0"/>
                <w:sz w:val="19"/>
              </w:rPr>
              <w:t>P58</w:t>
            </w:r>
          </w:p>
        </w:tc>
        <w:tc>
          <w:tcPr>
            <w:tcW w:type="dxa" w:w="4535"/>
          </w:tcPr>
          <w:p>
            <w:pPr>
              <w:spacing w:line="276" w:lineRule="auto" w:after="40"/>
              <w:jc w:val="left"/>
            </w:pPr>
            <w:r/>
            <w:r>
              <w:rPr>
                <w:rFonts w:ascii="Times New Roman" w:hAnsi="Times New Roman" w:cs="Times New Roman" w:eastAsia="Times New Roman"/>
                <w:b w:val="0"/>
                <w:i w:val="0"/>
                <w:sz w:val="19"/>
              </w:rPr>
              <w:t>O protocolo não tem secção de limitações. É uma ausência que qualquer júri nota e a resposta define a impressão de maturidade que deixa.</w:t>
            </w:r>
          </w:p>
        </w:tc>
      </w:tr>
      <w:tr>
        <w:tc>
          <w:tcPr>
            <w:tcW w:type="dxa" w:w="454"/>
          </w:tcPr>
          <w:p>
            <w:pPr>
              <w:spacing w:line="276" w:lineRule="auto" w:after="40"/>
              <w:jc w:val="left"/>
            </w:pPr>
            <w:r/>
            <w:r>
              <w:rPr>
                <w:rFonts w:ascii="Times New Roman" w:hAnsi="Times New Roman" w:cs="Times New Roman" w:eastAsia="Times New Roman"/>
                <w:b w:val="0"/>
                <w:i w:val="0"/>
                <w:sz w:val="19"/>
              </w:rPr>
              <w:t>7</w:t>
            </w:r>
          </w:p>
        </w:tc>
        <w:tc>
          <w:tcPr>
            <w:tcW w:type="dxa" w:w="3061"/>
          </w:tcPr>
          <w:p>
            <w:pPr>
              <w:spacing w:line="276" w:lineRule="auto" w:after="40"/>
              <w:jc w:val="left"/>
            </w:pPr>
            <w:r/>
            <w:r>
              <w:rPr>
                <w:rFonts w:ascii="Times New Roman" w:hAnsi="Times New Roman" w:cs="Times New Roman" w:eastAsia="Times New Roman"/>
                <w:b w:val="0"/>
                <w:i w:val="0"/>
                <w:sz w:val="19"/>
              </w:rPr>
              <w:t>Quem é o seu orientador, e onde está a declaração de orientação?</w:t>
            </w:r>
          </w:p>
        </w:tc>
        <w:tc>
          <w:tcPr>
            <w:tcW w:type="dxa" w:w="907"/>
          </w:tcPr>
          <w:p>
            <w:pPr>
              <w:spacing w:line="276" w:lineRule="auto" w:after="40"/>
              <w:jc w:val="left"/>
            </w:pPr>
            <w:r/>
            <w:r>
              <w:rPr>
                <w:rFonts w:ascii="Times New Roman" w:hAnsi="Times New Roman" w:cs="Times New Roman" w:eastAsia="Times New Roman"/>
                <w:b w:val="0"/>
                <w:i w:val="0"/>
                <w:sz w:val="19"/>
              </w:rPr>
              <w:t>P78</w:t>
            </w:r>
          </w:p>
        </w:tc>
        <w:tc>
          <w:tcPr>
            <w:tcW w:type="dxa" w:w="4535"/>
          </w:tcPr>
          <w:p>
            <w:pPr>
              <w:spacing w:line="276" w:lineRule="auto" w:after="40"/>
              <w:jc w:val="left"/>
            </w:pPr>
            <w:r/>
            <w:r>
              <w:rPr>
                <w:rFonts w:ascii="Times New Roman" w:hAnsi="Times New Roman" w:cs="Times New Roman" w:eastAsia="Times New Roman"/>
                <w:b w:val="0"/>
                <w:i w:val="0"/>
                <w:sz w:val="19"/>
              </w:rPr>
              <w:t>O campo está literalmente em branco («Orientador: Dr.») e a declaração é um título sem texto. É a primeira página do documento.</w:t>
            </w:r>
          </w:p>
        </w:tc>
      </w:tr>
      <w:tr>
        <w:tc>
          <w:tcPr>
            <w:tcW w:type="dxa" w:w="454"/>
          </w:tcPr>
          <w:p>
            <w:pPr>
              <w:spacing w:line="276" w:lineRule="auto" w:after="40"/>
              <w:jc w:val="left"/>
            </w:pPr>
            <w:r/>
            <w:r>
              <w:rPr>
                <w:rFonts w:ascii="Times New Roman" w:hAnsi="Times New Roman" w:cs="Times New Roman" w:eastAsia="Times New Roman"/>
                <w:b w:val="0"/>
                <w:i w:val="0"/>
                <w:sz w:val="19"/>
              </w:rPr>
              <w:t>8</w:t>
            </w:r>
          </w:p>
        </w:tc>
        <w:tc>
          <w:tcPr>
            <w:tcW w:type="dxa" w:w="3061"/>
          </w:tcPr>
          <w:p>
            <w:pPr>
              <w:spacing w:line="276" w:lineRule="auto" w:after="40"/>
              <w:jc w:val="left"/>
            </w:pPr>
            <w:r/>
            <w:r>
              <w:rPr>
                <w:rFonts w:ascii="Times New Roman" w:hAnsi="Times New Roman" w:cs="Times New Roman" w:eastAsia="Times New Roman"/>
                <w:b w:val="0"/>
                <w:i w:val="0"/>
                <w:sz w:val="19"/>
              </w:rPr>
              <w:t>O que traz este estudo que os RAAB de Nampula já não tenham dito?</w:t>
            </w:r>
          </w:p>
        </w:tc>
        <w:tc>
          <w:tcPr>
            <w:tcW w:type="dxa" w:w="907"/>
          </w:tcPr>
          <w:p>
            <w:pPr>
              <w:spacing w:line="276" w:lineRule="auto" w:after="40"/>
              <w:jc w:val="left"/>
            </w:pPr>
            <w:r/>
            <w:r>
              <w:rPr>
                <w:rFonts w:ascii="Times New Roman" w:hAnsi="Times New Roman" w:cs="Times New Roman" w:eastAsia="Times New Roman"/>
                <w:b w:val="0"/>
                <w:i w:val="0"/>
                <w:sz w:val="19"/>
              </w:rPr>
              <w:t>P1 · P2</w:t>
            </w:r>
          </w:p>
        </w:tc>
        <w:tc>
          <w:tcPr>
            <w:tcW w:type="dxa" w:w="4535"/>
          </w:tcPr>
          <w:p>
            <w:pPr>
              <w:spacing w:line="276" w:lineRule="auto" w:after="40"/>
              <w:jc w:val="left"/>
            </w:pPr>
            <w:r/>
            <w:r>
              <w:rPr>
                <w:rFonts w:ascii="Times New Roman" w:hAnsi="Times New Roman" w:cs="Times New Roman" w:eastAsia="Times New Roman"/>
                <w:b w:val="0"/>
                <w:i w:val="0"/>
                <w:sz w:val="19"/>
              </w:rPr>
              <w:t>Pergunta de abertura clássica sobre pertinência. Testa se compreende a diferença entre medir magnitude e medir determinantes comportamentais.</w:t>
            </w:r>
          </w:p>
        </w:tc>
      </w:tr>
      <w:tr>
        <w:tc>
          <w:tcPr>
            <w:tcW w:type="dxa" w:w="454"/>
          </w:tcPr>
          <w:p>
            <w:pPr>
              <w:spacing w:line="276" w:lineRule="auto" w:after="40"/>
              <w:jc w:val="left"/>
            </w:pPr>
            <w:r/>
            <w:r>
              <w:rPr>
                <w:rFonts w:ascii="Times New Roman" w:hAnsi="Times New Roman" w:cs="Times New Roman" w:eastAsia="Times New Roman"/>
                <w:b w:val="0"/>
                <w:i w:val="0"/>
                <w:sz w:val="19"/>
              </w:rPr>
              <w:t>9</w:t>
            </w:r>
          </w:p>
        </w:tc>
        <w:tc>
          <w:tcPr>
            <w:tcW w:type="dxa" w:w="3061"/>
          </w:tcPr>
          <w:p>
            <w:pPr>
              <w:spacing w:line="276" w:lineRule="auto" w:after="40"/>
              <w:jc w:val="left"/>
            </w:pPr>
            <w:r/>
            <w:r>
              <w:rPr>
                <w:rFonts w:ascii="Times New Roman" w:hAnsi="Times New Roman" w:cs="Times New Roman" w:eastAsia="Times New Roman"/>
                <w:b w:val="0"/>
                <w:i w:val="0"/>
                <w:sz w:val="19"/>
              </w:rPr>
              <w:t>Quem paga os 125.000 MZN e quantas entrevistas faz cada entrevistador por dia?</w:t>
            </w:r>
          </w:p>
        </w:tc>
        <w:tc>
          <w:tcPr>
            <w:tcW w:type="dxa" w:w="907"/>
          </w:tcPr>
          <w:p>
            <w:pPr>
              <w:spacing w:line="276" w:lineRule="auto" w:after="40"/>
              <w:jc w:val="left"/>
            </w:pPr>
            <w:r/>
            <w:r>
              <w:rPr>
                <w:rFonts w:ascii="Times New Roman" w:hAnsi="Times New Roman" w:cs="Times New Roman" w:eastAsia="Times New Roman"/>
                <w:b w:val="0"/>
                <w:i w:val="0"/>
                <w:sz w:val="19"/>
              </w:rPr>
              <w:t>P71 · P73</w:t>
            </w:r>
          </w:p>
        </w:tc>
        <w:tc>
          <w:tcPr>
            <w:tcW w:type="dxa" w:w="4535"/>
          </w:tcPr>
          <w:p>
            <w:pPr>
              <w:spacing w:line="276" w:lineRule="auto" w:after="40"/>
              <w:jc w:val="left"/>
            </w:pPr>
            <w:r/>
            <w:r>
              <w:rPr>
                <w:rFonts w:ascii="Times New Roman" w:hAnsi="Times New Roman" w:cs="Times New Roman" w:eastAsia="Times New Roman"/>
                <w:b w:val="0"/>
                <w:i w:val="0"/>
                <w:sz w:val="19"/>
              </w:rPr>
              <w:t>As duas perguntas padrão de exequibilidade. O orçamento não identifica fonte de financiamento e o protocolo nunca cruza n, equipa e dias de campo.</w:t>
            </w:r>
          </w:p>
        </w:tc>
      </w:tr>
      <w:tr>
        <w:tc>
          <w:tcPr>
            <w:tcW w:type="dxa" w:w="454"/>
          </w:tcPr>
          <w:p>
            <w:pPr>
              <w:spacing w:line="276" w:lineRule="auto" w:after="40"/>
              <w:jc w:val="left"/>
            </w:pPr>
            <w:r/>
            <w:r>
              <w:rPr>
                <w:rFonts w:ascii="Times New Roman" w:hAnsi="Times New Roman" w:cs="Times New Roman" w:eastAsia="Times New Roman"/>
                <w:b w:val="0"/>
                <w:i w:val="0"/>
                <w:sz w:val="19"/>
              </w:rPr>
              <w:t>10</w:t>
            </w:r>
          </w:p>
        </w:tc>
        <w:tc>
          <w:tcPr>
            <w:tcW w:type="dxa" w:w="3061"/>
          </w:tcPr>
          <w:p>
            <w:pPr>
              <w:spacing w:line="276" w:lineRule="auto" w:after="40"/>
              <w:jc w:val="left"/>
            </w:pPr>
            <w:r/>
            <w:r>
              <w:rPr>
                <w:rFonts w:ascii="Times New Roman" w:hAnsi="Times New Roman" w:cs="Times New Roman" w:eastAsia="Times New Roman"/>
                <w:b w:val="0"/>
                <w:i w:val="0"/>
                <w:sz w:val="19"/>
              </w:rPr>
              <w:t>O que é que este estudo vai concluir?</w:t>
            </w:r>
          </w:p>
        </w:tc>
        <w:tc>
          <w:tcPr>
            <w:tcW w:type="dxa" w:w="907"/>
          </w:tcPr>
          <w:p>
            <w:pPr>
              <w:spacing w:line="276" w:lineRule="auto" w:after="40"/>
              <w:jc w:val="left"/>
            </w:pPr>
            <w:r/>
            <w:r>
              <w:rPr>
                <w:rFonts w:ascii="Times New Roman" w:hAnsi="Times New Roman" w:cs="Times New Roman" w:eastAsia="Times New Roman"/>
                <w:b w:val="0"/>
                <w:i w:val="0"/>
                <w:sz w:val="19"/>
              </w:rPr>
              <w:t>A1</w:t>
            </w:r>
          </w:p>
        </w:tc>
        <w:tc>
          <w:tcPr>
            <w:tcW w:type="dxa" w:w="4535"/>
          </w:tcPr>
          <w:p>
            <w:pPr>
              <w:spacing w:line="276" w:lineRule="auto" w:after="40"/>
              <w:jc w:val="left"/>
            </w:pPr>
            <w:r/>
            <w:r>
              <w:rPr>
                <w:rFonts w:ascii="Times New Roman" w:hAnsi="Times New Roman" w:cs="Times New Roman" w:eastAsia="Times New Roman"/>
                <w:b w:val="0"/>
                <w:i w:val="0"/>
                <w:sz w:val="19"/>
              </w:rPr>
              <w:t>Armadilha clássica das defesas de protocolo. Quem responde descrevendo resultados esperados como conclusões antecipadas perde imediatamente a distinção entre projecto e trabalho concluído.</w:t>
            </w:r>
          </w:p>
        </w:tc>
      </w:tr>
    </w:tbl>
    <w:p>
      <w:pPr>
        <w:spacing w:line="276" w:lineRule="auto" w:before="0" w:after="120"/>
        <w:jc w:val="both"/>
      </w:pPr>
    </w:p>
    <w:tbl>
      <w:tblPr>
        <w:tblStyle w:val="TableGrid"/>
        <w:tblW w:type="auto" w:w="0"/>
        <w:tblLook w:firstColumn="1" w:firstRow="1" w:lastColumn="0" w:lastRow="0" w:noHBand="0" w:noVBand="1" w:val="04A0"/>
      </w:tblPr>
      <w:tblGrid>
        <w:gridCol w:w="9746"/>
      </w:tblGrid>
      <w:tr>
        <w:tc>
          <w:tcPr>
            <w:tcW w:type="dxa" w:w="9746"/>
            <w:shd w:val="clear" w:color="auto" w:fill="EEF3F8"/>
          </w:tcPr>
          <w:p>
            <w:pPr>
              <w:spacing w:line="276" w:lineRule="auto"/>
              <w:jc w:val="both"/>
            </w:pPr>
            <w:r/>
            <w:r>
              <w:rPr>
                <w:rFonts w:ascii="Times New Roman" w:hAnsi="Times New Roman" w:cs="Times New Roman" w:eastAsia="Times New Roman"/>
                <w:b/>
                <w:i w:val="0"/>
                <w:color w:val="1F3B57"/>
                <w:sz w:val="20"/>
              </w:rPr>
              <w:t xml:space="preserve">SÍNTESE DA ARGUIÇÃO  </w:t>
            </w:r>
            <w:r>
              <w:rPr>
                <w:rFonts w:ascii="Times New Roman" w:hAnsi="Times New Roman" w:cs="Times New Roman" w:eastAsia="Times New Roman"/>
                <w:b w:val="0"/>
                <w:i w:val="0"/>
                <w:sz w:val="20"/>
              </w:rPr>
              <w:t>Este protocolo tem uma pergunta legítima, um enquadramento bem documentado, um instrumento real e uma secção ética acima da média. As suas quatro fragilidades críticas — o cálculo amostral inexistente, a análise desajustada do desenho por conglomerados, a incoerência entre hipóteses e desfecho, e a ausência de chave de pontuação — têm em comum uma característica útil: nenhuma exige investigação nova. Todas se corrigem com trabalho técnico cuidadoso antes da submissão. Um candidato que entre na sala com essas quatro correcções já feitas transforma a arguição de um exame de sobrevivência numa discussão entre pares.</w:t>
            </w:r>
          </w:p>
        </w:tc>
      </w:tr>
    </w:tbl>
    <w:p>
      <w:pPr>
        <w:spacing w:line="276" w:lineRule="auto" w:before="0" w:after="120"/>
        <w:jc w:val="both"/>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jc w:val="both"/>
    </w:pPr>
    <w:rPr>
      <w:rFonts w:ascii="Times New Roman" w:hAnsi="Times New Roman" w:cs="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jc w:val="both"/>
    </w:pPr>
    <w:rPr>
      <w:rFonts w:ascii="Times New Roman" w:hAnsi="Times New Roman" w:cs="Times New Roman" w:eastAsia="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