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3AD4" w14:textId="77777777" w:rsidR="00BB1E70" w:rsidRPr="00280E21" w:rsidRDefault="00000000" w:rsidP="00280E21">
      <w:pPr>
        <w:pStyle w:val="Ttulo1"/>
        <w:spacing w:before="0" w:after="20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RESUMO DO PROTOCOLO DE TCC — MUANCHURA OSSUFO SUALEHÉ</w:t>
      </w:r>
    </w:p>
    <w:p w14:paraId="6848B48A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Conhecimento, atitudes e práticas sobre a prevenção da cegueira numa comunidade rural do distrito de Monapo, província de Nampula, 2027</w:t>
      </w:r>
    </w:p>
    <w:p w14:paraId="48430DD7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i/>
          <w:color w:val="444444"/>
        </w:rPr>
        <w:t>⚠️</w:t>
      </w:r>
      <w:r w:rsidRPr="00280E21">
        <w:rPr>
          <w:rFonts w:ascii="Times New Roman" w:hAnsi="Times New Roman" w:cs="Times New Roman"/>
          <w:i/>
          <w:color w:val="444444"/>
        </w:rPr>
        <w:t xml:space="preserve"> </w:t>
      </w:r>
      <w:r w:rsidRPr="00280E21">
        <w:rPr>
          <w:rFonts w:ascii="Times New Roman" w:hAnsi="Times New Roman" w:cs="Times New Roman"/>
          <w:b/>
          <w:i/>
          <w:color w:val="444444"/>
        </w:rPr>
        <w:t>Este documento é um PROTOCOLO DE INVESTIGAÇÃO, não um TCC concluído.</w:t>
      </w:r>
      <w:r w:rsidRPr="00280E21">
        <w:rPr>
          <w:rFonts w:ascii="Times New Roman" w:hAnsi="Times New Roman" w:cs="Times New Roman"/>
          <w:i/>
          <w:color w:val="444444"/>
        </w:rPr>
        <w:t xml:space="preserve"> A recolha de dados está prevista para 2027 — ainda não há resultados.</w:t>
      </w:r>
    </w:p>
    <w:p w14:paraId="4F76C6AC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1AB09EF6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1. Ficha técnica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420"/>
      </w:tblGrid>
      <w:tr w:rsidR="00BB1E70" w:rsidRPr="00280E21" w14:paraId="5967683C" w14:textId="77777777" w:rsidTr="00280E21">
        <w:trPr>
          <w:jc w:val="center"/>
        </w:trPr>
        <w:tc>
          <w:tcPr>
            <w:tcW w:w="2552" w:type="dxa"/>
            <w:shd w:val="clear" w:color="auto" w:fill="1F3B63"/>
          </w:tcPr>
          <w:p w14:paraId="04CEFB1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Item</w:t>
            </w:r>
          </w:p>
        </w:tc>
        <w:tc>
          <w:tcPr>
            <w:tcW w:w="7420" w:type="dxa"/>
            <w:shd w:val="clear" w:color="auto" w:fill="1F3B63"/>
          </w:tcPr>
          <w:p w14:paraId="138466C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Conteúdo</w:t>
            </w:r>
          </w:p>
        </w:tc>
      </w:tr>
      <w:tr w:rsidR="00BB1E70" w:rsidRPr="00280E21" w14:paraId="0BD200A5" w14:textId="77777777" w:rsidTr="00280E21">
        <w:trPr>
          <w:jc w:val="center"/>
        </w:trPr>
        <w:tc>
          <w:tcPr>
            <w:tcW w:w="2552" w:type="dxa"/>
          </w:tcPr>
          <w:p w14:paraId="6F16A96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Autor</w:t>
            </w:r>
          </w:p>
        </w:tc>
        <w:tc>
          <w:tcPr>
            <w:tcW w:w="7420" w:type="dxa"/>
          </w:tcPr>
          <w:p w14:paraId="536CB11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Muanchura Ossufo Sualehé</w:t>
            </w:r>
          </w:p>
        </w:tc>
      </w:tr>
      <w:tr w:rsidR="00BB1E70" w:rsidRPr="00280E21" w14:paraId="7A416CBE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126F6C2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Curso</w:t>
            </w:r>
          </w:p>
        </w:tc>
        <w:tc>
          <w:tcPr>
            <w:tcW w:w="7420" w:type="dxa"/>
            <w:shd w:val="clear" w:color="auto" w:fill="F2F5FA"/>
          </w:tcPr>
          <w:p w14:paraId="579495B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Licenciatura em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Optometria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— FCS / UniLúrio</w:t>
            </w:r>
          </w:p>
        </w:tc>
      </w:tr>
      <w:tr w:rsidR="00BB1E70" w:rsidRPr="00280E21" w14:paraId="7DD14385" w14:textId="77777777" w:rsidTr="00280E21">
        <w:trPr>
          <w:jc w:val="center"/>
        </w:trPr>
        <w:tc>
          <w:tcPr>
            <w:tcW w:w="2552" w:type="dxa"/>
          </w:tcPr>
          <w:p w14:paraId="3AF5A33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Local / data do protocolo</w:t>
            </w:r>
          </w:p>
        </w:tc>
        <w:tc>
          <w:tcPr>
            <w:tcW w:w="7420" w:type="dxa"/>
          </w:tcPr>
          <w:p w14:paraId="7C8462D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Nampula, 2026 (recolha prevista para 2027)</w:t>
            </w:r>
          </w:p>
        </w:tc>
      </w:tr>
      <w:tr w:rsidR="00BB1E70" w:rsidRPr="00280E21" w14:paraId="4EA9252D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60184F1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Desenho</w:t>
            </w:r>
          </w:p>
        </w:tc>
        <w:tc>
          <w:tcPr>
            <w:tcW w:w="7420" w:type="dxa"/>
            <w:shd w:val="clear" w:color="auto" w:fill="F2F5FA"/>
          </w:tcPr>
          <w:p w14:paraId="1F9FC08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Corte transversal, analítico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, quantitativo — inquérito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CAP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(Conhecimento, Atitudes e Práticas)</w:t>
            </w:r>
          </w:p>
        </w:tc>
      </w:tr>
      <w:tr w:rsidR="00BB1E70" w:rsidRPr="00280E21" w14:paraId="660A4886" w14:textId="77777777" w:rsidTr="00280E21">
        <w:trPr>
          <w:jc w:val="center"/>
        </w:trPr>
        <w:tc>
          <w:tcPr>
            <w:tcW w:w="2552" w:type="dxa"/>
          </w:tcPr>
          <w:p w14:paraId="4A04030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Local</w:t>
            </w:r>
          </w:p>
        </w:tc>
        <w:tc>
          <w:tcPr>
            <w:tcW w:w="7420" w:type="dxa"/>
          </w:tcPr>
          <w:p w14:paraId="16F592B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Comunidade rural do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distrito de Monapo</w:t>
            </w:r>
            <w:r w:rsidRPr="00280E21">
              <w:rPr>
                <w:rFonts w:ascii="Times New Roman" w:hAnsi="Times New Roman" w:cs="Times New Roman"/>
                <w:sz w:val="19"/>
              </w:rPr>
              <w:t>, Nampula</w:t>
            </w:r>
          </w:p>
        </w:tc>
      </w:tr>
      <w:tr w:rsidR="00BB1E70" w:rsidRPr="00280E21" w14:paraId="17B6481E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338D38E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População</w:t>
            </w:r>
          </w:p>
        </w:tc>
        <w:tc>
          <w:tcPr>
            <w:tcW w:w="7420" w:type="dxa"/>
            <w:shd w:val="clear" w:color="auto" w:fill="F2F5FA"/>
          </w:tcPr>
          <w:p w14:paraId="4BCD22A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Residentes com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≥ 18 anos</w:t>
            </w:r>
          </w:p>
        </w:tc>
      </w:tr>
      <w:tr w:rsidR="00BB1E70" w:rsidRPr="00280E21" w14:paraId="16437031" w14:textId="77777777" w:rsidTr="00280E21">
        <w:trPr>
          <w:jc w:val="center"/>
        </w:trPr>
        <w:tc>
          <w:tcPr>
            <w:tcW w:w="2552" w:type="dxa"/>
          </w:tcPr>
          <w:p w14:paraId="46F9614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Amostragem</w:t>
            </w:r>
          </w:p>
        </w:tc>
        <w:tc>
          <w:tcPr>
            <w:tcW w:w="7420" w:type="dxa"/>
          </w:tcPr>
          <w:p w14:paraId="68155AA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Probabilística por conglomerados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(2 etapas)</w:t>
            </w:r>
          </w:p>
        </w:tc>
      </w:tr>
      <w:tr w:rsidR="00BB1E70" w:rsidRPr="00280E21" w14:paraId="02932B47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3433D22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Classificação</w:t>
            </w:r>
          </w:p>
        </w:tc>
        <w:tc>
          <w:tcPr>
            <w:tcW w:w="7420" w:type="dxa"/>
            <w:shd w:val="clear" w:color="auto" w:fill="F2F5FA"/>
          </w:tcPr>
          <w:p w14:paraId="43111D0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Pontos de corte de Bloom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(bom ≥ 80 % · moderado 60–79 % · fraco &lt; 60 %)</w:t>
            </w:r>
          </w:p>
        </w:tc>
      </w:tr>
      <w:tr w:rsidR="00BB1E70" w:rsidRPr="00280E21" w14:paraId="41E04734" w14:textId="77777777" w:rsidTr="00280E21">
        <w:trPr>
          <w:jc w:val="center"/>
        </w:trPr>
        <w:tc>
          <w:tcPr>
            <w:tcW w:w="2552" w:type="dxa"/>
          </w:tcPr>
          <w:p w14:paraId="62EFE9D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Reporte</w:t>
            </w:r>
          </w:p>
        </w:tc>
        <w:tc>
          <w:tcPr>
            <w:tcW w:w="7420" w:type="dxa"/>
          </w:tcPr>
          <w:p w14:paraId="28EA5C3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Segundo a lista de verificação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ChecKAP</w:t>
            </w:r>
          </w:p>
        </w:tc>
      </w:tr>
      <w:tr w:rsidR="00BB1E70" w:rsidRPr="00280E21" w14:paraId="18786AAB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5418699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Análise</w:t>
            </w:r>
          </w:p>
        </w:tc>
        <w:tc>
          <w:tcPr>
            <w:tcW w:w="7420" w:type="dxa"/>
            <w:shd w:val="clear" w:color="auto" w:fill="F2F5FA"/>
          </w:tcPr>
          <w:p w14:paraId="4797753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SPSS (ou equivalente livre); qui-quadrado +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regressão logística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aOR e IC 95 %</w:t>
            </w:r>
          </w:p>
        </w:tc>
      </w:tr>
      <w:tr w:rsidR="00BB1E70" w:rsidRPr="00280E21" w14:paraId="65614ACC" w14:textId="77777777" w:rsidTr="00280E21">
        <w:trPr>
          <w:jc w:val="center"/>
        </w:trPr>
        <w:tc>
          <w:tcPr>
            <w:tcW w:w="2552" w:type="dxa"/>
          </w:tcPr>
          <w:p w14:paraId="5EA0D1A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Orçamento</w:t>
            </w:r>
          </w:p>
        </w:tc>
        <w:tc>
          <w:tcPr>
            <w:tcW w:w="7420" w:type="dxa"/>
          </w:tcPr>
          <w:p w14:paraId="5A96C71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125.000 MZN</w:t>
            </w:r>
          </w:p>
        </w:tc>
      </w:tr>
      <w:tr w:rsidR="00BB1E70" w:rsidRPr="00280E21" w14:paraId="1EF0359C" w14:textId="77777777" w:rsidTr="00280E21">
        <w:trPr>
          <w:jc w:val="center"/>
        </w:trPr>
        <w:tc>
          <w:tcPr>
            <w:tcW w:w="2552" w:type="dxa"/>
            <w:shd w:val="clear" w:color="auto" w:fill="F2F5FA"/>
          </w:tcPr>
          <w:p w14:paraId="607F54D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Palavras-chave</w:t>
            </w:r>
          </w:p>
        </w:tc>
        <w:tc>
          <w:tcPr>
            <w:tcW w:w="7420" w:type="dxa"/>
            <w:shd w:val="clear" w:color="auto" w:fill="F2F5FA"/>
          </w:tcPr>
          <w:p w14:paraId="0FE6A90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atitudes, cegueira, conhecimento, práticas, prevenção, saúde ocular</w:t>
            </w:r>
          </w:p>
        </w:tc>
      </w:tr>
    </w:tbl>
    <w:p w14:paraId="00456C01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024D1D09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635F9E5D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2. O essencial em 8 linhas</w:t>
      </w:r>
    </w:p>
    <w:p w14:paraId="664B318F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O facto que sustenta tudo: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Times New Roman" w:hAnsi="Times New Roman" w:cs="Times New Roman"/>
          <w:b/>
        </w:rPr>
        <w:t>~90 % da perda de visão no mundo é evitável ou tratável</w:t>
      </w:r>
      <w:r w:rsidRPr="00280E21">
        <w:rPr>
          <w:rFonts w:ascii="Times New Roman" w:hAnsi="Times New Roman" w:cs="Times New Roman"/>
        </w:rPr>
        <w:t xml:space="preserve"> — e mais de 90 % dos casos resolver-se-iam </w:t>
      </w:r>
      <w:r w:rsidRPr="00280E21">
        <w:rPr>
          <w:rFonts w:ascii="Times New Roman" w:hAnsi="Times New Roman" w:cs="Times New Roman"/>
          <w:b/>
        </w:rPr>
        <w:t>com cirurgia de catarata ou simplesmente com óculos</w:t>
      </w:r>
      <w:r w:rsidRPr="00280E21">
        <w:rPr>
          <w:rFonts w:ascii="Times New Roman" w:hAnsi="Times New Roman" w:cs="Times New Roman"/>
        </w:rPr>
        <w:t>.</w:t>
      </w:r>
    </w:p>
    <w:p w14:paraId="6DB9286B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Escala: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Times New Roman" w:hAnsi="Times New Roman" w:cs="Times New Roman"/>
          <w:b/>
        </w:rPr>
        <w:t>2,2 mil milhões</w:t>
      </w:r>
      <w:r w:rsidRPr="00280E21">
        <w:rPr>
          <w:rFonts w:ascii="Times New Roman" w:hAnsi="Times New Roman" w:cs="Times New Roman"/>
        </w:rPr>
        <w:t xml:space="preserve"> de pessoas com deficiência visual; </w:t>
      </w:r>
      <w:r w:rsidRPr="00280E21">
        <w:rPr>
          <w:rFonts w:ascii="Times New Roman" w:hAnsi="Times New Roman" w:cs="Times New Roman"/>
          <w:b/>
        </w:rPr>
        <w:t>43,3 milhões de cegos</w:t>
      </w:r>
      <w:r w:rsidRPr="00280E21">
        <w:rPr>
          <w:rFonts w:ascii="Times New Roman" w:hAnsi="Times New Roman" w:cs="Times New Roman"/>
        </w:rPr>
        <w:t xml:space="preserve"> em 2020. E, apesar de a prevalência padronizada por idade estar a descer, </w:t>
      </w:r>
      <w:r w:rsidRPr="00280E21">
        <w:rPr>
          <w:rFonts w:ascii="Times New Roman" w:hAnsi="Times New Roman" w:cs="Times New Roman"/>
          <w:b/>
        </w:rPr>
        <w:t>o número absoluto de cegos aumentou 50,6 % entre 1990 e 2020</w:t>
      </w:r>
      <w:r w:rsidRPr="00280E21">
        <w:rPr>
          <w:rFonts w:ascii="Times New Roman" w:hAnsi="Times New Roman" w:cs="Times New Roman"/>
        </w:rPr>
        <w:t xml:space="preserve"> por crescimento e envelhecimento populacional.</w:t>
      </w:r>
    </w:p>
    <w:p w14:paraId="7350792B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Desigualdade brutal:</w:t>
      </w:r>
      <w:r w:rsidRPr="00280E21">
        <w:rPr>
          <w:rFonts w:ascii="Times New Roman" w:hAnsi="Times New Roman" w:cs="Times New Roman"/>
        </w:rPr>
        <w:t xml:space="preserve"> as taxas de cegueira na África subsariana chegam a ser </w:t>
      </w:r>
      <w:r w:rsidRPr="00280E21">
        <w:rPr>
          <w:rFonts w:ascii="Times New Roman" w:hAnsi="Times New Roman" w:cs="Times New Roman"/>
          <w:b/>
        </w:rPr>
        <w:t>oito vezes</w:t>
      </w:r>
      <w:r w:rsidRPr="00280E21">
        <w:rPr>
          <w:rFonts w:ascii="Times New Roman" w:hAnsi="Times New Roman" w:cs="Times New Roman"/>
        </w:rPr>
        <w:t xml:space="preserve"> superiores às das regiões de rendimento elevado.</w:t>
      </w:r>
    </w:p>
    <w:p w14:paraId="714560D4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Nampula tem dados — e são bons e maus ao mesmo tempo:</w:t>
      </w:r>
      <w:r w:rsidRPr="00280E21">
        <w:rPr>
          <w:rFonts w:ascii="Times New Roman" w:hAnsi="Times New Roman" w:cs="Times New Roman"/>
        </w:rPr>
        <w:t xml:space="preserve"> a prevalência de cegueira nos ≥ 50 anos desceu de </w:t>
      </w:r>
      <w:r w:rsidRPr="00280E21">
        <w:rPr>
          <w:rFonts w:ascii="Times New Roman" w:hAnsi="Times New Roman" w:cs="Times New Roman"/>
          <w:b/>
        </w:rPr>
        <w:t>6,2 % (2011) para 4,5 % (2018)</w:t>
      </w:r>
      <w:r w:rsidRPr="00280E21">
        <w:rPr>
          <w:rFonts w:ascii="Times New Roman" w:hAnsi="Times New Roman" w:cs="Times New Roman"/>
        </w:rPr>
        <w:t xml:space="preserve">, mas a cobertura cirúrgica da catarata era de </w:t>
      </w:r>
      <w:r w:rsidRPr="00280E21">
        <w:rPr>
          <w:rFonts w:ascii="Times New Roman" w:hAnsi="Times New Roman" w:cs="Times New Roman"/>
          <w:b/>
        </w:rPr>
        <w:t>40,0 % nos homens e apenas 19,4 % nas mulheres</w:t>
      </w:r>
      <w:r w:rsidRPr="00280E21">
        <w:rPr>
          <w:rFonts w:ascii="Times New Roman" w:hAnsi="Times New Roman" w:cs="Times New Roman"/>
        </w:rPr>
        <w:t>.</w:t>
      </w:r>
    </w:p>
    <w:p w14:paraId="0DA088C0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Défice crítico de recursos humanos:</w:t>
      </w:r>
      <w:r w:rsidRPr="00280E21">
        <w:rPr>
          <w:rFonts w:ascii="Times New Roman" w:hAnsi="Times New Roman" w:cs="Times New Roman"/>
        </w:rPr>
        <w:t xml:space="preserve"> a província de Nampula tinha, em 2021, </w:t>
      </w:r>
      <w:r w:rsidRPr="00280E21">
        <w:rPr>
          <w:rFonts w:ascii="Times New Roman" w:hAnsi="Times New Roman" w:cs="Times New Roman"/>
          <w:b/>
        </w:rPr>
        <w:t>4 oftalmologistas, 8 optometristas e 46 técnicos</w:t>
      </w:r>
      <w:r w:rsidRPr="00280E21">
        <w:rPr>
          <w:rFonts w:ascii="Times New Roman" w:hAnsi="Times New Roman" w:cs="Times New Roman"/>
        </w:rPr>
        <w:t xml:space="preserve"> — muito abaixo dos rácios da OMS.</w:t>
      </w:r>
    </w:p>
    <w:p w14:paraId="62AAD83C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lastRenderedPageBreak/>
        <w:t>A lacuna que o estudo preenche:</w:t>
      </w:r>
      <w:r w:rsidRPr="00280E21">
        <w:rPr>
          <w:rFonts w:ascii="Times New Roman" w:hAnsi="Times New Roman" w:cs="Times New Roman"/>
        </w:rPr>
        <w:t xml:space="preserve"> existe evidência sobre </w:t>
      </w:r>
      <w:r w:rsidRPr="00280E21">
        <w:rPr>
          <w:rFonts w:ascii="Times New Roman" w:hAnsi="Times New Roman" w:cs="Times New Roman"/>
          <w:i/>
        </w:rPr>
        <w:t>prevalência</w:t>
      </w:r>
      <w:r w:rsidRPr="00280E21">
        <w:rPr>
          <w:rFonts w:ascii="Times New Roman" w:hAnsi="Times New Roman" w:cs="Times New Roman"/>
        </w:rPr>
        <w:t xml:space="preserve"> e sobre </w:t>
      </w:r>
      <w:r w:rsidRPr="00280E21">
        <w:rPr>
          <w:rFonts w:ascii="Times New Roman" w:hAnsi="Times New Roman" w:cs="Times New Roman"/>
          <w:i/>
        </w:rPr>
        <w:t>barreiras</w:t>
      </w:r>
      <w:r w:rsidRPr="00280E21">
        <w:rPr>
          <w:rFonts w:ascii="Times New Roman" w:hAnsi="Times New Roman" w:cs="Times New Roman"/>
        </w:rPr>
        <w:t xml:space="preserve"> em Nampula, </w:t>
      </w:r>
      <w:r w:rsidRPr="00280E21">
        <w:rPr>
          <w:rFonts w:ascii="Times New Roman" w:hAnsi="Times New Roman" w:cs="Times New Roman"/>
          <w:b/>
        </w:rPr>
        <w:t>mas nenhum estudo avalia de forma integrada o conhecimento, as atitudes e as práticas</w:t>
      </w:r>
      <w:r w:rsidRPr="00280E21">
        <w:rPr>
          <w:rFonts w:ascii="Times New Roman" w:hAnsi="Times New Roman" w:cs="Times New Roman"/>
        </w:rPr>
        <w:t xml:space="preserve"> numa comunidade rural.</w:t>
      </w:r>
    </w:p>
    <w:p w14:paraId="4F364F43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Porque importa medir CAP:</w:t>
      </w:r>
      <w:r w:rsidRPr="00280E21">
        <w:rPr>
          <w:rFonts w:ascii="Times New Roman" w:hAnsi="Times New Roman" w:cs="Times New Roman"/>
        </w:rPr>
        <w:t xml:space="preserve"> num estudo rural na China, </w:t>
      </w:r>
      <w:r w:rsidRPr="00280E21">
        <w:rPr>
          <w:rFonts w:ascii="Times New Roman" w:hAnsi="Times New Roman" w:cs="Times New Roman"/>
          <w:b/>
        </w:rPr>
        <w:t>bom conhecimento sobre catarata associou-se a probabilidade de cirurgia 4,92 vezes superior</w:t>
      </w:r>
      <w:r w:rsidRPr="00280E21">
        <w:rPr>
          <w:rFonts w:ascii="Times New Roman" w:hAnsi="Times New Roman" w:cs="Times New Roman"/>
        </w:rPr>
        <w:t>. O conhecimento traduz-se em acesso.</w:t>
      </w:r>
    </w:p>
    <w:p w14:paraId="718B9288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Alinhamento estratégico:</w:t>
      </w:r>
      <w:r w:rsidRPr="00280E21">
        <w:rPr>
          <w:rFonts w:ascii="Times New Roman" w:hAnsi="Times New Roman" w:cs="Times New Roman"/>
        </w:rPr>
        <w:t xml:space="preserve"> metas globais de saúde ocular para 2030 aprovadas pela 74.ª Assembleia Mundial da Saúde — </w:t>
      </w:r>
      <w:r w:rsidRPr="00280E21">
        <w:rPr>
          <w:rFonts w:ascii="Times New Roman" w:hAnsi="Times New Roman" w:cs="Times New Roman"/>
          <w:b/>
        </w:rPr>
        <w:t>+40 pontos percentuais</w:t>
      </w:r>
      <w:r w:rsidRPr="00280E21">
        <w:rPr>
          <w:rFonts w:ascii="Times New Roman" w:hAnsi="Times New Roman" w:cs="Times New Roman"/>
        </w:rPr>
        <w:t xml:space="preserve"> na cobertura efectiva de erros refractivos e </w:t>
      </w:r>
      <w:r w:rsidRPr="00280E21">
        <w:rPr>
          <w:rFonts w:ascii="Times New Roman" w:hAnsi="Times New Roman" w:cs="Times New Roman"/>
          <w:b/>
        </w:rPr>
        <w:t>+30 pontos</w:t>
      </w:r>
      <w:r w:rsidRPr="00280E21">
        <w:rPr>
          <w:rFonts w:ascii="Times New Roman" w:hAnsi="Times New Roman" w:cs="Times New Roman"/>
        </w:rPr>
        <w:t xml:space="preserve"> na cobertura efectiva da cirurgia de catarata.</w:t>
      </w:r>
    </w:p>
    <w:p w14:paraId="12815967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074F90C6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3. Introdução — os números-chave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271"/>
      </w:tblGrid>
      <w:tr w:rsidR="00BB1E70" w:rsidRPr="00280E21" w14:paraId="651C7E64" w14:textId="77777777" w:rsidTr="00280E21">
        <w:trPr>
          <w:jc w:val="center"/>
        </w:trPr>
        <w:tc>
          <w:tcPr>
            <w:tcW w:w="1701" w:type="dxa"/>
            <w:shd w:val="clear" w:color="auto" w:fill="1F3B63"/>
          </w:tcPr>
          <w:p w14:paraId="1271B2E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Nível</w:t>
            </w:r>
            <w:proofErr w:type="spellEnd"/>
          </w:p>
        </w:tc>
        <w:tc>
          <w:tcPr>
            <w:tcW w:w="8271" w:type="dxa"/>
            <w:shd w:val="clear" w:color="auto" w:fill="1F3B63"/>
          </w:tcPr>
          <w:p w14:paraId="2EEA146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Dado</w:t>
            </w:r>
          </w:p>
        </w:tc>
      </w:tr>
      <w:tr w:rsidR="00BB1E70" w:rsidRPr="00280E21" w14:paraId="58E200E3" w14:textId="77777777" w:rsidTr="00280E21">
        <w:trPr>
          <w:jc w:val="center"/>
        </w:trPr>
        <w:tc>
          <w:tcPr>
            <w:tcW w:w="1701" w:type="dxa"/>
          </w:tcPr>
          <w:p w14:paraId="1129A22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Mundo</w:t>
            </w:r>
          </w:p>
        </w:tc>
        <w:tc>
          <w:tcPr>
            <w:tcW w:w="8271" w:type="dxa"/>
          </w:tcPr>
          <w:p w14:paraId="053EE4F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2,2 mil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deficiência visual;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≥1 mil milhão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condição evitável ou não corrigida</w:t>
            </w:r>
          </w:p>
        </w:tc>
      </w:tr>
      <w:tr w:rsidR="00BB1E70" w:rsidRPr="00280E21" w14:paraId="7FC00566" w14:textId="77777777" w:rsidTr="00280E21">
        <w:trPr>
          <w:jc w:val="center"/>
        </w:trPr>
        <w:tc>
          <w:tcPr>
            <w:tcW w:w="1701" w:type="dxa"/>
            <w:shd w:val="clear" w:color="auto" w:fill="F2F5FA"/>
          </w:tcPr>
          <w:p w14:paraId="7148F0A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GBD 2020</w:t>
            </w:r>
          </w:p>
        </w:tc>
        <w:tc>
          <w:tcPr>
            <w:tcW w:w="8271" w:type="dxa"/>
            <w:shd w:val="clear" w:color="auto" w:fill="F2F5FA"/>
          </w:tcPr>
          <w:p w14:paraId="1645685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43,3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cegos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295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deficiência visual moderada a grave</w:t>
            </w:r>
          </w:p>
        </w:tc>
      </w:tr>
      <w:tr w:rsidR="00BB1E70" w:rsidRPr="00280E21" w14:paraId="7547233C" w14:textId="77777777" w:rsidTr="00280E21">
        <w:trPr>
          <w:jc w:val="center"/>
        </w:trPr>
        <w:tc>
          <w:tcPr>
            <w:tcW w:w="1701" w:type="dxa"/>
          </w:tcPr>
          <w:p w14:paraId="049C24AD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Tendência</w:t>
            </w:r>
          </w:p>
        </w:tc>
        <w:tc>
          <w:tcPr>
            <w:tcW w:w="8271" w:type="dxa"/>
          </w:tcPr>
          <w:p w14:paraId="7537B5D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Prevalência padronizada a descer,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mas +50,6 % de cegos em números absolutos (1990–2020)</w:t>
            </w:r>
          </w:p>
        </w:tc>
      </w:tr>
      <w:tr w:rsidR="00BB1E70" w:rsidRPr="00280E21" w14:paraId="195C727F" w14:textId="77777777" w:rsidTr="00280E21">
        <w:trPr>
          <w:jc w:val="center"/>
        </w:trPr>
        <w:tc>
          <w:tcPr>
            <w:tcW w:w="1701" w:type="dxa"/>
            <w:shd w:val="clear" w:color="auto" w:fill="F2F5FA"/>
          </w:tcPr>
          <w:p w14:paraId="451FAF0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Projecção 2050</w:t>
            </w:r>
          </w:p>
        </w:tc>
        <w:tc>
          <w:tcPr>
            <w:tcW w:w="8271" w:type="dxa"/>
            <w:shd w:val="clear" w:color="auto" w:fill="F2F5FA"/>
          </w:tcPr>
          <w:p w14:paraId="6B899D1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61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de cegos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895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deficiência visual de longe</w:t>
            </w:r>
          </w:p>
        </w:tc>
      </w:tr>
      <w:tr w:rsidR="00BB1E70" w:rsidRPr="00280E21" w14:paraId="6DDB48A3" w14:textId="77777777" w:rsidTr="00280E21">
        <w:trPr>
          <w:jc w:val="center"/>
        </w:trPr>
        <w:tc>
          <w:tcPr>
            <w:tcW w:w="1701" w:type="dxa"/>
          </w:tcPr>
          <w:p w14:paraId="0AA11E6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Principais causas</w:t>
            </w:r>
          </w:p>
        </w:tc>
        <w:tc>
          <w:tcPr>
            <w:tcW w:w="8271" w:type="dxa"/>
          </w:tcPr>
          <w:p w14:paraId="6218D61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Catarata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(cegueira em ≥50 anos)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erros refractivos não corrigidos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(deficiência moderada a grave)</w:t>
            </w:r>
          </w:p>
        </w:tc>
      </w:tr>
      <w:tr w:rsidR="00BB1E70" w:rsidRPr="00280E21" w14:paraId="5387FC55" w14:textId="77777777" w:rsidTr="00280E21">
        <w:trPr>
          <w:jc w:val="center"/>
        </w:trPr>
        <w:tc>
          <w:tcPr>
            <w:tcW w:w="1701" w:type="dxa"/>
            <w:shd w:val="clear" w:color="auto" w:fill="F2F5FA"/>
          </w:tcPr>
          <w:p w14:paraId="107E8C3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Detalhe</w:t>
            </w:r>
          </w:p>
        </w:tc>
        <w:tc>
          <w:tcPr>
            <w:tcW w:w="8271" w:type="dxa"/>
            <w:shd w:val="clear" w:color="auto" w:fill="F2F5FA"/>
          </w:tcPr>
          <w:p w14:paraId="61D56B7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Presbiopia não corrigida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826 M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· catarata não operada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94 M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· erros refractivos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88,4 M</w:t>
            </w:r>
          </w:p>
        </w:tc>
      </w:tr>
      <w:tr w:rsidR="00BB1E70" w:rsidRPr="00280E21" w14:paraId="08DEB793" w14:textId="77777777" w:rsidTr="00280E21">
        <w:trPr>
          <w:jc w:val="center"/>
        </w:trPr>
        <w:tc>
          <w:tcPr>
            <w:tcW w:w="1701" w:type="dxa"/>
          </w:tcPr>
          <w:p w14:paraId="22E835C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Catarata</w:t>
            </w:r>
          </w:p>
        </w:tc>
        <w:tc>
          <w:tcPr>
            <w:tcW w:w="8271" w:type="dxa"/>
          </w:tcPr>
          <w:p w14:paraId="4162DDA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~15,2 milhões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de cegos ≥50 anos =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~45 % de toda a cegueira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nesse grupo</w:t>
            </w:r>
          </w:p>
        </w:tc>
      </w:tr>
      <w:tr w:rsidR="00BB1E70" w:rsidRPr="00280E21" w14:paraId="4E499B95" w14:textId="77777777" w:rsidTr="00280E21">
        <w:trPr>
          <w:jc w:val="center"/>
        </w:trPr>
        <w:tc>
          <w:tcPr>
            <w:tcW w:w="1701" w:type="dxa"/>
            <w:shd w:val="clear" w:color="auto" w:fill="F2F5FA"/>
          </w:tcPr>
          <w:p w14:paraId="63353CB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Evitabilidade</w:t>
            </w:r>
          </w:p>
        </w:tc>
        <w:tc>
          <w:tcPr>
            <w:tcW w:w="8271" w:type="dxa"/>
            <w:shd w:val="clear" w:color="auto" w:fill="F2F5FA"/>
          </w:tcPr>
          <w:p w14:paraId="0C665EA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~90 %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evitável ou tratável (IAPB)</w:t>
            </w:r>
          </w:p>
        </w:tc>
      </w:tr>
      <w:tr w:rsidR="00BB1E70" w:rsidRPr="00280E21" w14:paraId="4577DAF1" w14:textId="77777777" w:rsidTr="00280E21">
        <w:trPr>
          <w:jc w:val="center"/>
        </w:trPr>
        <w:tc>
          <w:tcPr>
            <w:tcW w:w="1701" w:type="dxa"/>
          </w:tcPr>
          <w:p w14:paraId="78E2937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Custo económico</w:t>
            </w:r>
          </w:p>
        </w:tc>
        <w:tc>
          <w:tcPr>
            <w:tcW w:w="8271" w:type="dxa"/>
          </w:tcPr>
          <w:p w14:paraId="273F60F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411 mil milhões USD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em perda de produtividade (2020)</w:t>
            </w:r>
          </w:p>
        </w:tc>
      </w:tr>
      <w:tr w:rsidR="00BB1E70" w:rsidRPr="00280E21" w14:paraId="61CECEEF" w14:textId="77777777" w:rsidTr="00280E21">
        <w:trPr>
          <w:jc w:val="center"/>
        </w:trPr>
        <w:tc>
          <w:tcPr>
            <w:tcW w:w="1701" w:type="dxa"/>
            <w:shd w:val="clear" w:color="auto" w:fill="F2F5FA"/>
          </w:tcPr>
          <w:p w14:paraId="2217290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África subsariana</w:t>
            </w:r>
          </w:p>
        </w:tc>
        <w:tc>
          <w:tcPr>
            <w:tcW w:w="8271" w:type="dxa"/>
            <w:shd w:val="clear" w:color="auto" w:fill="F2F5FA"/>
          </w:tcPr>
          <w:p w14:paraId="6D8D53A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Meta-análise de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77 estudos, 191.173 participantes, 26 países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: prevalência agregada de cegueira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10 %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catarata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46 %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, glaucoma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14 %</w:t>
            </w:r>
          </w:p>
        </w:tc>
      </w:tr>
    </w:tbl>
    <w:p w14:paraId="55E5998A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6440207E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0B2B680E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4. O contexto moçambicano — o que já se sabe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7845"/>
      </w:tblGrid>
      <w:tr w:rsidR="00BB1E70" w:rsidRPr="00280E21" w14:paraId="6F7BAF53" w14:textId="77777777" w:rsidTr="009F51CA">
        <w:trPr>
          <w:jc w:val="center"/>
        </w:trPr>
        <w:tc>
          <w:tcPr>
            <w:tcW w:w="2127" w:type="dxa"/>
            <w:shd w:val="clear" w:color="auto" w:fill="1F3B63"/>
          </w:tcPr>
          <w:p w14:paraId="1B43923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Estudo</w:t>
            </w:r>
            <w:proofErr w:type="spellEnd"/>
          </w:p>
        </w:tc>
        <w:tc>
          <w:tcPr>
            <w:tcW w:w="7845" w:type="dxa"/>
            <w:shd w:val="clear" w:color="auto" w:fill="1F3B63"/>
          </w:tcPr>
          <w:p w14:paraId="0A4E0DF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Achado</w:t>
            </w:r>
          </w:p>
        </w:tc>
      </w:tr>
      <w:tr w:rsidR="00BB1E70" w:rsidRPr="00280E21" w14:paraId="0187042B" w14:textId="77777777" w:rsidTr="009F51CA">
        <w:trPr>
          <w:jc w:val="center"/>
        </w:trPr>
        <w:tc>
          <w:tcPr>
            <w:tcW w:w="2127" w:type="dxa"/>
          </w:tcPr>
          <w:p w14:paraId="7701EC2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RAAB Nampula (2011 → 2018)</w:t>
            </w:r>
          </w:p>
        </w:tc>
        <w:tc>
          <w:tcPr>
            <w:tcW w:w="7845" w:type="dxa"/>
          </w:tcPr>
          <w:p w14:paraId="1FCC73E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Cegueira em ≥50 anos: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6,2 % → 4,5 %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. Catarata como principal causa.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Cobertura cirúrgica: 40,0 % (homens) vs 19,4 % (mulheres)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— desigualdade de género marcada</w:t>
            </w:r>
          </w:p>
        </w:tc>
      </w:tr>
      <w:tr w:rsidR="00BB1E70" w:rsidRPr="00280E21" w14:paraId="45A21254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33B78F4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Sengo (2021), 5 distritos de Nampula</w:t>
            </w:r>
          </w:p>
        </w:tc>
        <w:tc>
          <w:tcPr>
            <w:tcW w:w="7845" w:type="dxa"/>
            <w:shd w:val="clear" w:color="auto" w:fill="F2F5FA"/>
          </w:tcPr>
          <w:p w14:paraId="240096B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Entre jovens: erro refractivo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24,7 %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deficiência visual não corrigida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18,3 %</w:t>
            </w:r>
          </w:p>
        </w:tc>
      </w:tr>
      <w:tr w:rsidR="00BB1E70" w:rsidRPr="00280E21" w14:paraId="28B0579E" w14:textId="77777777" w:rsidTr="009F51CA">
        <w:trPr>
          <w:jc w:val="center"/>
        </w:trPr>
        <w:tc>
          <w:tcPr>
            <w:tcW w:w="2127" w:type="dxa"/>
          </w:tcPr>
          <w:p w14:paraId="75A5F2A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Sofala</w:t>
            </w:r>
          </w:p>
        </w:tc>
        <w:tc>
          <w:tcPr>
            <w:tcW w:w="7845" w:type="dxa"/>
          </w:tcPr>
          <w:p w14:paraId="7A5BA40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Deficiência visual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17,5 %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cegueira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3,2 %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em ≥50 anos;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forte associação à pobreza (OR 2,6)</w:t>
            </w:r>
          </w:p>
        </w:tc>
      </w:tr>
      <w:tr w:rsidR="00BB1E70" w:rsidRPr="00280E21" w14:paraId="6BF73B52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101E0F5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Sengo (2022), Nampula suburbana (n=338)</w:t>
            </w:r>
          </w:p>
        </w:tc>
        <w:tc>
          <w:tcPr>
            <w:tcW w:w="7845" w:type="dxa"/>
            <w:shd w:val="clear" w:color="auto" w:fill="F2F5FA"/>
          </w:tcPr>
          <w:p w14:paraId="6C3FF06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49,4 %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sintomas oculares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41,7 %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sem exame ocular actualizado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20,4 % de automedicação</w:t>
            </w:r>
          </w:p>
        </w:tc>
      </w:tr>
      <w:tr w:rsidR="00BB1E70" w:rsidRPr="00280E21" w14:paraId="567BE0D1" w14:textId="77777777" w:rsidTr="009F51CA">
        <w:trPr>
          <w:jc w:val="center"/>
        </w:trPr>
        <w:tc>
          <w:tcPr>
            <w:tcW w:w="2127" w:type="dxa"/>
          </w:tcPr>
          <w:p w14:paraId="06AB9BC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Thompson (2015), Nampula (n=4.601)</w:t>
            </w:r>
          </w:p>
        </w:tc>
        <w:tc>
          <w:tcPr>
            <w:tcW w:w="7845" w:type="dxa"/>
          </w:tcPr>
          <w:p w14:paraId="0083AC7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Barreiras: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custo 53 %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falta de necessidade sentida 28 %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·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distância 15 %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· falta de conhecimento 13 %.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Residentes rurais reportam a distância 2,13× mais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que os urbanos</w:t>
            </w:r>
          </w:p>
        </w:tc>
      </w:tr>
      <w:tr w:rsidR="00BB1E70" w:rsidRPr="00280E21" w14:paraId="1D63763A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696C835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Tracoma (2012–2015)</w:t>
            </w:r>
          </w:p>
        </w:tc>
        <w:tc>
          <w:tcPr>
            <w:tcW w:w="7845" w:type="dxa"/>
            <w:shd w:val="clear" w:color="auto" w:fill="F2F5FA"/>
          </w:tcPr>
          <w:p w14:paraId="02F8C9D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Levantamento nacional examinou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249.318 pessoas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20 distritos com TF ≥ 10 %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, incluindo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focos hiperendémicos em Nampula</w:t>
            </w:r>
          </w:p>
        </w:tc>
      </w:tr>
      <w:tr w:rsidR="00BB1E70" w:rsidRPr="00280E21" w14:paraId="3D8B33B1" w14:textId="77777777" w:rsidTr="009F51CA">
        <w:trPr>
          <w:jc w:val="center"/>
        </w:trPr>
        <w:tc>
          <w:tcPr>
            <w:tcW w:w="2127" w:type="dxa"/>
          </w:tcPr>
          <w:p w14:paraId="0BBB48F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Tracoma (2022)</w:t>
            </w:r>
          </w:p>
        </w:tc>
        <w:tc>
          <w:tcPr>
            <w:tcW w:w="7845" w:type="dxa"/>
          </w:tcPr>
          <w:p w14:paraId="2AEC126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Transmissão persistente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mesmo em distritos de baixa prevalência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da província</w:t>
            </w:r>
          </w:p>
        </w:tc>
      </w:tr>
      <w:tr w:rsidR="00BB1E70" w:rsidRPr="00280E21" w14:paraId="4AFC20D9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204AD635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 xml:space="preserve">Recursos humanos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lastRenderedPageBreak/>
              <w:t>(2021)</w:t>
            </w:r>
          </w:p>
        </w:tc>
        <w:tc>
          <w:tcPr>
            <w:tcW w:w="7845" w:type="dxa"/>
            <w:shd w:val="clear" w:color="auto" w:fill="F2F5FA"/>
          </w:tcPr>
          <w:p w14:paraId="72087EF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lastRenderedPageBreak/>
              <w:t>4 oftalmologistas · 8 optometristas · 46 técnicos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em toda a província</w:t>
            </w:r>
          </w:p>
        </w:tc>
      </w:tr>
    </w:tbl>
    <w:p w14:paraId="4585118E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1CFF3D92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06E9BA5F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5. Objectivos</w:t>
      </w:r>
    </w:p>
    <w:p w14:paraId="4F9F880E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Geral</w:t>
      </w:r>
      <w:r w:rsidRPr="00280E21">
        <w:rPr>
          <w:rFonts w:ascii="Times New Roman" w:hAnsi="Times New Roman" w:cs="Times New Roman"/>
        </w:rPr>
        <w:t xml:space="preserve"> — Avaliar o conhecimento, as atitudes e as práticas sobre a prevenção da cegueira na comunidade rural do distrito de Monapo, em 2027.</w:t>
      </w:r>
    </w:p>
    <w:p w14:paraId="36336E1C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Específicos (5)</w:t>
      </w:r>
    </w:p>
    <w:p w14:paraId="6E13E6A9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Caracterizar</w:t>
      </w:r>
      <w:r w:rsidRPr="00280E21">
        <w:rPr>
          <w:rFonts w:ascii="Times New Roman" w:hAnsi="Times New Roman" w:cs="Times New Roman"/>
        </w:rPr>
        <w:t xml:space="preserve"> o perfil sociodemográfico;</w:t>
      </w:r>
    </w:p>
    <w:p w14:paraId="0C84CDF8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Identificar</w:t>
      </w:r>
      <w:r w:rsidRPr="00280E21">
        <w:rPr>
          <w:rFonts w:ascii="Times New Roman" w:hAnsi="Times New Roman" w:cs="Times New Roman"/>
        </w:rPr>
        <w:t xml:space="preserve"> o nível de conhecimento sobre causas e formas de prevenção;</w:t>
      </w:r>
    </w:p>
    <w:p w14:paraId="5DDE5E36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Analisar</w:t>
      </w:r>
      <w:r w:rsidRPr="00280E21">
        <w:rPr>
          <w:rFonts w:ascii="Times New Roman" w:hAnsi="Times New Roman" w:cs="Times New Roman"/>
        </w:rPr>
        <w:t xml:space="preserve"> as atitudes perante a saúde ocular;</w:t>
      </w:r>
    </w:p>
    <w:p w14:paraId="36D12385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Descrever</w:t>
      </w:r>
      <w:r w:rsidRPr="00280E21">
        <w:rPr>
          <w:rFonts w:ascii="Times New Roman" w:hAnsi="Times New Roman" w:cs="Times New Roman"/>
        </w:rPr>
        <w:t xml:space="preserve"> as práticas de prevenção e tratamento, </w:t>
      </w:r>
      <w:r w:rsidRPr="00280E21">
        <w:rPr>
          <w:rFonts w:ascii="Times New Roman" w:hAnsi="Times New Roman" w:cs="Times New Roman"/>
          <w:b/>
        </w:rPr>
        <w:t>incluindo as barreiras ao acesso</w:t>
      </w:r>
      <w:r w:rsidRPr="00280E21">
        <w:rPr>
          <w:rFonts w:ascii="Times New Roman" w:hAnsi="Times New Roman" w:cs="Times New Roman"/>
        </w:rPr>
        <w:t>;</w:t>
      </w:r>
    </w:p>
    <w:p w14:paraId="104C805C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Analisar a associação</w:t>
      </w:r>
      <w:r w:rsidRPr="00280E21">
        <w:rPr>
          <w:rFonts w:ascii="Times New Roman" w:hAnsi="Times New Roman" w:cs="Times New Roman"/>
        </w:rPr>
        <w:t xml:space="preserve"> entre o nível de instrução e outros factores sociodemográficos e as práticas de prevenção.</w:t>
      </w:r>
    </w:p>
    <w:p w14:paraId="61E4F122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Hipóteses:</w:t>
      </w:r>
    </w:p>
    <w:p w14:paraId="27038988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H0</w:t>
      </w:r>
      <w:r w:rsidRPr="00280E21">
        <w:rPr>
          <w:rFonts w:ascii="Times New Roman" w:hAnsi="Times New Roman" w:cs="Times New Roman"/>
        </w:rPr>
        <w:t xml:space="preserve"> — Não existe associação significativa entre o nível de conhecimento e os factores sociodemográficos.</w:t>
      </w:r>
    </w:p>
    <w:p w14:paraId="4DBFFAA0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H1</w:t>
      </w:r>
      <w:r w:rsidRPr="00280E21">
        <w:rPr>
          <w:rFonts w:ascii="Times New Roman" w:hAnsi="Times New Roman" w:cs="Times New Roman"/>
        </w:rPr>
        <w:t xml:space="preserve"> — Existe associação significativa.</w:t>
      </w:r>
    </w:p>
    <w:p w14:paraId="58FEAC42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3D233B8A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6. Justificativa — quatro dimensões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838"/>
      </w:tblGrid>
      <w:tr w:rsidR="00BB1E70" w:rsidRPr="00280E21" w14:paraId="4C26D958" w14:textId="77777777" w:rsidTr="009F51CA">
        <w:trPr>
          <w:jc w:val="center"/>
        </w:trPr>
        <w:tc>
          <w:tcPr>
            <w:tcW w:w="1134" w:type="dxa"/>
            <w:shd w:val="clear" w:color="auto" w:fill="1F3B63"/>
          </w:tcPr>
          <w:p w14:paraId="0BAFF5A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Dimensão</w:t>
            </w:r>
            <w:proofErr w:type="spellEnd"/>
          </w:p>
        </w:tc>
        <w:tc>
          <w:tcPr>
            <w:tcW w:w="8838" w:type="dxa"/>
            <w:shd w:val="clear" w:color="auto" w:fill="1F3B63"/>
          </w:tcPr>
          <w:p w14:paraId="786EC27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Argumento</w:t>
            </w:r>
          </w:p>
        </w:tc>
      </w:tr>
      <w:tr w:rsidR="00BB1E70" w:rsidRPr="00280E21" w14:paraId="55F62B19" w14:textId="77777777" w:rsidTr="009F51CA">
        <w:trPr>
          <w:jc w:val="center"/>
        </w:trPr>
        <w:tc>
          <w:tcPr>
            <w:tcW w:w="1134" w:type="dxa"/>
          </w:tcPr>
          <w:p w14:paraId="096CF2E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Científica</w:t>
            </w:r>
          </w:p>
        </w:tc>
        <w:tc>
          <w:tcPr>
            <w:tcW w:w="8838" w:type="dxa"/>
          </w:tcPr>
          <w:p w14:paraId="33AEDA3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Existem dados de prevalência em Nampula,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mas nenhum estudo CAP no distrito de Monapo</w:t>
            </w:r>
            <w:r w:rsidRPr="00280E21">
              <w:rPr>
                <w:rFonts w:ascii="Times New Roman" w:hAnsi="Times New Roman" w:cs="Times New Roman"/>
                <w:sz w:val="19"/>
              </w:rPr>
              <w:t>. Produz evidência primária, mensurável e comparável</w:t>
            </w:r>
          </w:p>
        </w:tc>
      </w:tr>
      <w:tr w:rsidR="00BB1E70" w:rsidRPr="00280E21" w14:paraId="55864991" w14:textId="77777777" w:rsidTr="009F51CA">
        <w:trPr>
          <w:jc w:val="center"/>
        </w:trPr>
        <w:tc>
          <w:tcPr>
            <w:tcW w:w="1134" w:type="dxa"/>
            <w:shd w:val="clear" w:color="auto" w:fill="F2F5FA"/>
          </w:tcPr>
          <w:p w14:paraId="5FE043F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Académica</w:t>
            </w:r>
          </w:p>
        </w:tc>
        <w:tc>
          <w:tcPr>
            <w:tcW w:w="8838" w:type="dxa"/>
            <w:shd w:val="clear" w:color="auto" w:fill="F2F5FA"/>
          </w:tcPr>
          <w:p w14:paraId="399CF59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Consolida competências de investigação em saúde comunitária 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reforça o papel da UniLúrio numa província com défice crítico de profissionais de saúde ocular</w:t>
            </w:r>
          </w:p>
        </w:tc>
      </w:tr>
      <w:tr w:rsidR="00BB1E70" w:rsidRPr="00280E21" w14:paraId="3FB91E6D" w14:textId="77777777" w:rsidTr="009F51CA">
        <w:trPr>
          <w:jc w:val="center"/>
        </w:trPr>
        <w:tc>
          <w:tcPr>
            <w:tcW w:w="1134" w:type="dxa"/>
          </w:tcPr>
          <w:p w14:paraId="1BC123D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Social</w:t>
            </w:r>
          </w:p>
        </w:tc>
        <w:tc>
          <w:tcPr>
            <w:tcW w:w="8838" w:type="dxa"/>
          </w:tcPr>
          <w:p w14:paraId="5B895CC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Custo global de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411 mil milhões USD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em produtividade perdida. Identificar lacunas cria condições para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intervenções educativas culturalmente adequadas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— que a evidência demonstra melhorarem atitudes e comportamentos</w:t>
            </w:r>
          </w:p>
        </w:tc>
      </w:tr>
      <w:tr w:rsidR="00BB1E70" w:rsidRPr="00280E21" w14:paraId="40B5954C" w14:textId="77777777" w:rsidTr="009F51CA">
        <w:trPr>
          <w:jc w:val="center"/>
        </w:trPr>
        <w:tc>
          <w:tcPr>
            <w:tcW w:w="1134" w:type="dxa"/>
            <w:shd w:val="clear" w:color="auto" w:fill="F2F5FA"/>
          </w:tcPr>
          <w:p w14:paraId="3BD1172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Política</w:t>
            </w:r>
          </w:p>
        </w:tc>
        <w:tc>
          <w:tcPr>
            <w:tcW w:w="8838" w:type="dxa"/>
            <w:shd w:val="clear" w:color="auto" w:fill="F2F5FA"/>
          </w:tcPr>
          <w:p w14:paraId="5F72586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Apoia autoridades distritais e provinciais no cumprimento das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metas globais 2030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 das metas nacionais de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eliminação do tracoma</w:t>
            </w:r>
          </w:p>
        </w:tc>
      </w:tr>
    </w:tbl>
    <w:p w14:paraId="112D5B74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141A38A0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4CFB108A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 Revisão de literatura — os pontos mais interessantes</w:t>
      </w:r>
    </w:p>
    <w:p w14:paraId="56B663BC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7.1 Evolução das estratégias globais</w:t>
      </w:r>
    </w:p>
    <w:p w14:paraId="2E1D08D3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sz w:val="19"/>
        </w:rPr>
        <w:t>`</w:t>
      </w:r>
    </w:p>
    <w:p w14:paraId="2AE86537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1999  VISION 2020: The Right to Sight (OMS + IAPB)</w:t>
      </w:r>
    </w:p>
    <w:p w14:paraId="307FAB4D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→ eliminar catarata, erro refractivo, tracoma, oncocercose, cegueira infantil</w:t>
      </w:r>
    </w:p>
    <w:p w14:paraId="2CDB64EB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2019  Relatório Mundial sobre a Visão</w:t>
      </w:r>
    </w:p>
    <w:p w14:paraId="77BB4AD5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→ modelo de cuidados oculares INTEGRADOS e CENTRADOS NA PESSOA (IPEC)</w:t>
      </w:r>
    </w:p>
    <w:p w14:paraId="6732C7CF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2021  74.ª Assembleia Mundial da Saúde — duas metas para 2030:</w:t>
      </w:r>
    </w:p>
    <w:p w14:paraId="222848E9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lastRenderedPageBreak/>
        <w:t>+40 pp na cobertura efectiva de erros refractivos</w:t>
      </w:r>
    </w:p>
    <w:p w14:paraId="7E81DE05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+30 pp na cobertura efectiva da cirurgia de catarata</w:t>
      </w:r>
    </w:p>
    <w:p w14:paraId="572F5BAD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sz w:val="19"/>
        </w:rPr>
        <w:t>`</w:t>
      </w:r>
    </w:p>
    <w:p w14:paraId="4EDCF169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7.2 Barreiras à cirurgia de catarata — as razões reais</w:t>
      </w:r>
    </w:p>
    <w:p w14:paraId="0D2622C3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Uma revisão sistemática africana identificou </w:t>
      </w:r>
      <w:r w:rsidRPr="00280E21">
        <w:rPr>
          <w:rFonts w:ascii="Times New Roman" w:hAnsi="Times New Roman" w:cs="Times New Roman"/>
          <w:b/>
        </w:rPr>
        <w:t>o custo como a barreira mais frequente</w:t>
      </w:r>
      <w:r w:rsidRPr="00280E21">
        <w:rPr>
          <w:rFonts w:ascii="Times New Roman" w:hAnsi="Times New Roman" w:cs="Times New Roman"/>
        </w:rPr>
        <w:t xml:space="preserve"> e demonstrou que </w:t>
      </w:r>
      <w:r w:rsidRPr="00280E21">
        <w:rPr>
          <w:rFonts w:ascii="Times New Roman" w:hAnsi="Times New Roman" w:cs="Times New Roman"/>
          <w:b/>
        </w:rPr>
        <w:t>a cobertura cirúrgica masculina superou a feminina em 15 de 17 populações estudadas</w:t>
      </w:r>
      <w:r w:rsidRPr="00280E21">
        <w:rPr>
          <w:rFonts w:ascii="Times New Roman" w:hAnsi="Times New Roman" w:cs="Times New Roman"/>
        </w:rPr>
        <w:t>.</w:t>
      </w:r>
    </w:p>
    <w:p w14:paraId="0B104F9C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Mas as razões de adiamento são também culturais e cognitivas:</w:t>
      </w:r>
    </w:p>
    <w:p w14:paraId="0BCAD311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Gerem o quotidiano </w:t>
      </w:r>
      <w:r w:rsidRPr="00280E21">
        <w:rPr>
          <w:rFonts w:ascii="Times New Roman" w:hAnsi="Times New Roman" w:cs="Times New Roman"/>
          <w:b/>
        </w:rPr>
        <w:t>com a visão de um só olho</w:t>
      </w:r>
      <w:r w:rsidRPr="00280E21">
        <w:rPr>
          <w:rFonts w:ascii="Times New Roman" w:hAnsi="Times New Roman" w:cs="Times New Roman"/>
        </w:rPr>
        <w:t>;</w:t>
      </w:r>
    </w:p>
    <w:p w14:paraId="7F0FD9E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Esperam que a catarata «amadureça»</w:t>
      </w:r>
      <w:r w:rsidRPr="00280E21">
        <w:rPr>
          <w:rFonts w:ascii="Times New Roman" w:hAnsi="Times New Roman" w:cs="Times New Roman"/>
        </w:rPr>
        <w:t>;</w:t>
      </w:r>
    </w:p>
    <w:p w14:paraId="1E27BC54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Medo de complicações;</w:t>
      </w:r>
    </w:p>
    <w:p w14:paraId="75709F94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Aguardam campanhas gratuitas</w:t>
      </w:r>
      <w:r w:rsidRPr="00280E21">
        <w:rPr>
          <w:rFonts w:ascii="Times New Roman" w:hAnsi="Times New Roman" w:cs="Times New Roman"/>
        </w:rPr>
        <w:t>.</w:t>
      </w:r>
    </w:p>
    <w:p w14:paraId="7CA6F263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i/>
          <w:color w:val="444444"/>
        </w:rPr>
        <w:t>🎯</w:t>
      </w:r>
      <w:r w:rsidRPr="00280E21">
        <w:rPr>
          <w:rFonts w:ascii="Times New Roman" w:hAnsi="Times New Roman" w:cs="Times New Roman"/>
          <w:i/>
          <w:color w:val="444444"/>
        </w:rPr>
        <w:t xml:space="preserve"> </w:t>
      </w:r>
      <w:r w:rsidRPr="00280E21">
        <w:rPr>
          <w:rFonts w:ascii="Times New Roman" w:hAnsi="Times New Roman" w:cs="Times New Roman"/>
          <w:b/>
          <w:i/>
          <w:color w:val="444444"/>
        </w:rPr>
        <w:t>O dado que justifica o estudo inteiro:</w:t>
      </w:r>
      <w:r w:rsidRPr="00280E21">
        <w:rPr>
          <w:rFonts w:ascii="Times New Roman" w:hAnsi="Times New Roman" w:cs="Times New Roman"/>
          <w:i/>
          <w:color w:val="444444"/>
        </w:rPr>
        <w:t xml:space="preserve"> Du (2022), China rural, n = 1.495 — </w:t>
      </w:r>
      <w:r w:rsidRPr="00280E21">
        <w:rPr>
          <w:rFonts w:ascii="Times New Roman" w:hAnsi="Times New Roman" w:cs="Times New Roman"/>
          <w:b/>
          <w:i/>
          <w:color w:val="444444"/>
        </w:rPr>
        <w:t>bom conhecimento sobre a catarata associou-se a probabilidade de cirurgia OR = 4,92</w:t>
      </w:r>
      <w:r w:rsidRPr="00280E21">
        <w:rPr>
          <w:rFonts w:ascii="Times New Roman" w:hAnsi="Times New Roman" w:cs="Times New Roman"/>
          <w:i/>
          <w:color w:val="444444"/>
        </w:rPr>
        <w:t xml:space="preserve">. </w:t>
      </w:r>
      <w:r w:rsidRPr="00280E21">
        <w:rPr>
          <w:rFonts w:ascii="Times New Roman" w:hAnsi="Times New Roman" w:cs="Times New Roman"/>
          <w:b/>
          <w:i/>
          <w:color w:val="444444"/>
        </w:rPr>
        <w:t>O conhecimento não é um fim em si: é um determinante do acesso.</w:t>
      </w:r>
    </w:p>
    <w:p w14:paraId="2BADC976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7.3 Tracoma e a estratégia SAFE</w:t>
      </w:r>
    </w:p>
    <w:p w14:paraId="45167355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Causado por </w:t>
      </w:r>
      <w:r w:rsidRPr="00280E21">
        <w:rPr>
          <w:rFonts w:ascii="Times New Roman" w:hAnsi="Times New Roman" w:cs="Times New Roman"/>
          <w:i/>
        </w:rPr>
        <w:t>Chlamydia trachomatis</w:t>
      </w:r>
      <w:r w:rsidRPr="00280E21">
        <w:rPr>
          <w:rFonts w:ascii="Times New Roman" w:hAnsi="Times New Roman" w:cs="Times New Roman"/>
        </w:rPr>
        <w:t xml:space="preserve">, é </w:t>
      </w:r>
      <w:r w:rsidRPr="00280E21">
        <w:rPr>
          <w:rFonts w:ascii="Times New Roman" w:hAnsi="Times New Roman" w:cs="Times New Roman"/>
          <w:b/>
        </w:rPr>
        <w:t>a principal causa infecciosa de cegueira</w:t>
      </w:r>
      <w:r w:rsidRPr="00280E21">
        <w:rPr>
          <w:rFonts w:ascii="Times New Roman" w:hAnsi="Times New Roman" w:cs="Times New Roman"/>
        </w:rPr>
        <w:t>, endémico em ~30 países.</w:t>
      </w:r>
    </w:p>
    <w:p w14:paraId="095357F4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| </w:t>
      </w:r>
      <w:r w:rsidRPr="00280E21">
        <w:rPr>
          <w:rFonts w:ascii="Times New Roman" w:hAnsi="Times New Roman" w:cs="Times New Roman"/>
          <w:b/>
        </w:rPr>
        <w:t>S</w:t>
      </w:r>
      <w:r w:rsidRPr="00280E21">
        <w:rPr>
          <w:rFonts w:ascii="Times New Roman" w:hAnsi="Times New Roman" w:cs="Times New Roman"/>
        </w:rPr>
        <w:t xml:space="preserve"> | Surgery — cirurgia da triquíase |</w:t>
      </w:r>
    </w:p>
    <w:p w14:paraId="5D61D779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| </w:t>
      </w:r>
      <w:r w:rsidRPr="00280E21">
        <w:rPr>
          <w:rFonts w:ascii="Times New Roman" w:hAnsi="Times New Roman" w:cs="Times New Roman"/>
          <w:b/>
        </w:rPr>
        <w:t>A</w:t>
      </w:r>
      <w:r w:rsidRPr="00280E21">
        <w:rPr>
          <w:rFonts w:ascii="Times New Roman" w:hAnsi="Times New Roman" w:cs="Times New Roman"/>
        </w:rPr>
        <w:t xml:space="preserve"> | Antibiotics — antibiótico |</w:t>
      </w:r>
    </w:p>
    <w:p w14:paraId="0D9420C4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| </w:t>
      </w:r>
      <w:r w:rsidRPr="00280E21">
        <w:rPr>
          <w:rFonts w:ascii="Times New Roman" w:hAnsi="Times New Roman" w:cs="Times New Roman"/>
          <w:b/>
        </w:rPr>
        <w:t>F</w:t>
      </w:r>
      <w:r w:rsidRPr="00280E21">
        <w:rPr>
          <w:rFonts w:ascii="Times New Roman" w:hAnsi="Times New Roman" w:cs="Times New Roman"/>
        </w:rPr>
        <w:t xml:space="preserve"> | Facial cleanliness — limpeza facial |</w:t>
      </w:r>
    </w:p>
    <w:p w14:paraId="06B9B096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| </w:t>
      </w:r>
      <w:r w:rsidRPr="00280E21">
        <w:rPr>
          <w:rFonts w:ascii="Times New Roman" w:hAnsi="Times New Roman" w:cs="Times New Roman"/>
          <w:b/>
        </w:rPr>
        <w:t>E</w:t>
      </w:r>
      <w:r w:rsidRPr="00280E21">
        <w:rPr>
          <w:rFonts w:ascii="Times New Roman" w:hAnsi="Times New Roman" w:cs="Times New Roman"/>
        </w:rPr>
        <w:t xml:space="preserve"> | Environmental improvement — melhoria ambiental |</w:t>
      </w:r>
    </w:p>
    <w:p w14:paraId="1CB81282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Meta de eliminação: 2030.</w:t>
      </w:r>
    </w:p>
    <w:p w14:paraId="5CAAB88D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</w:rPr>
        <w:t>⚠️</w:t>
      </w:r>
      <w:r w:rsidRPr="00280E21">
        <w:rPr>
          <w:rFonts w:ascii="Times New Roman" w:hAnsi="Times New Roman" w:cs="Times New Roman"/>
        </w:rPr>
        <w:t xml:space="preserve"> Nota fina e importante: </w:t>
      </w:r>
      <w:r w:rsidRPr="00280E21">
        <w:rPr>
          <w:rFonts w:ascii="Times New Roman" w:hAnsi="Times New Roman" w:cs="Times New Roman"/>
          <w:b/>
        </w:rPr>
        <w:t>a limpeza facial é de medição difícil, e o conhecimento nem sempre se traduz em práticas de higiene adequadas</w:t>
      </w:r>
      <w:r w:rsidRPr="00280E21">
        <w:rPr>
          <w:rFonts w:ascii="Times New Roman" w:hAnsi="Times New Roman" w:cs="Times New Roman"/>
        </w:rPr>
        <w:t xml:space="preserve"> — o que é, em si, um argumento para medir </w:t>
      </w:r>
      <w:r w:rsidRPr="00280E21">
        <w:rPr>
          <w:rFonts w:ascii="Times New Roman" w:hAnsi="Times New Roman" w:cs="Times New Roman"/>
          <w:b/>
        </w:rPr>
        <w:t>práticas</w:t>
      </w:r>
      <w:r w:rsidRPr="00280E21">
        <w:rPr>
          <w:rFonts w:ascii="Times New Roman" w:hAnsi="Times New Roman" w:cs="Times New Roman"/>
        </w:rPr>
        <w:t xml:space="preserve"> e não apenas conhecimento.</w:t>
      </w:r>
    </w:p>
    <w:p w14:paraId="1C76E353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7.4 Determinantes sociais</w:t>
      </w:r>
    </w:p>
    <w:p w14:paraId="17FBA26C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Escolaridade é determinante central:</w:t>
      </w:r>
      <w:r w:rsidRPr="00280E21">
        <w:rPr>
          <w:rFonts w:ascii="Times New Roman" w:hAnsi="Times New Roman" w:cs="Times New Roman"/>
        </w:rPr>
        <w:t xml:space="preserve"> na Etiópia, formação superior associou-se a maior utilização de serviços oculares (</w:t>
      </w:r>
      <w:r w:rsidRPr="00280E21">
        <w:rPr>
          <w:rFonts w:ascii="Times New Roman" w:hAnsi="Times New Roman" w:cs="Times New Roman"/>
          <w:b/>
        </w:rPr>
        <w:t>AOR 2,25</w:t>
      </w:r>
      <w:r w:rsidRPr="00280E21">
        <w:rPr>
          <w:rFonts w:ascii="Times New Roman" w:hAnsi="Times New Roman" w:cs="Times New Roman"/>
        </w:rPr>
        <w:t xml:space="preserve">); a </w:t>
      </w:r>
      <w:r w:rsidRPr="00280E21">
        <w:rPr>
          <w:rFonts w:ascii="Times New Roman" w:hAnsi="Times New Roman" w:cs="Times New Roman"/>
          <w:b/>
        </w:rPr>
        <w:t>ausência de instrução formal aumentou fortemente o recurso à medicina tradicional ocular e à automedicação</w:t>
      </w:r>
      <w:r w:rsidRPr="00280E21">
        <w:rPr>
          <w:rFonts w:ascii="Times New Roman" w:hAnsi="Times New Roman" w:cs="Times New Roman"/>
        </w:rPr>
        <w:t>.</w:t>
      </w:r>
    </w:p>
    <w:p w14:paraId="2B92D6B6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Essas práticas são prevalentes e perigosas</w:t>
      </w:r>
      <w:r w:rsidRPr="00280E21">
        <w:rPr>
          <w:rFonts w:ascii="Times New Roman" w:hAnsi="Times New Roman" w:cs="Times New Roman"/>
        </w:rPr>
        <w:t xml:space="preserve"> — podem causar </w:t>
      </w:r>
      <w:r w:rsidRPr="00280E21">
        <w:rPr>
          <w:rFonts w:ascii="Times New Roman" w:hAnsi="Times New Roman" w:cs="Times New Roman"/>
          <w:b/>
        </w:rPr>
        <w:t>úlceras e perfurações da córnea</w:t>
      </w:r>
      <w:r w:rsidRPr="00280E21">
        <w:rPr>
          <w:rFonts w:ascii="Times New Roman" w:hAnsi="Times New Roman" w:cs="Times New Roman"/>
        </w:rPr>
        <w:t>.</w:t>
      </w:r>
    </w:p>
    <w:p w14:paraId="3B43D6EA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Género</w:t>
      </w:r>
      <w:r w:rsidRPr="00280E21">
        <w:rPr>
          <w:rFonts w:ascii="Times New Roman" w:hAnsi="Times New Roman" w:cs="Times New Roman"/>
        </w:rPr>
        <w:t xml:space="preserve"> é barreira adicional: as mulheres têm menor acesso à cirurgia da catarata.</w:t>
      </w:r>
    </w:p>
    <w:p w14:paraId="34989DD5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7.5 Estado da arte — o Quadro 1 é forte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283"/>
        <w:gridCol w:w="6711"/>
      </w:tblGrid>
      <w:tr w:rsidR="00BB1E70" w:rsidRPr="00280E21" w14:paraId="0E29CB9E" w14:textId="77777777" w:rsidTr="009F51CA">
        <w:trPr>
          <w:jc w:val="center"/>
        </w:trPr>
        <w:tc>
          <w:tcPr>
            <w:tcW w:w="2127" w:type="dxa"/>
            <w:shd w:val="clear" w:color="auto" w:fill="1F3B63"/>
          </w:tcPr>
          <w:p w14:paraId="5DEBD18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Estudo</w:t>
            </w:r>
            <w:proofErr w:type="spellEnd"/>
          </w:p>
        </w:tc>
        <w:tc>
          <w:tcPr>
            <w:tcW w:w="1134" w:type="dxa"/>
            <w:shd w:val="clear" w:color="auto" w:fill="1F3B63"/>
          </w:tcPr>
          <w:p w14:paraId="3AD1865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Local</w:t>
            </w:r>
          </w:p>
        </w:tc>
        <w:tc>
          <w:tcPr>
            <w:tcW w:w="6711" w:type="dxa"/>
            <w:shd w:val="clear" w:color="auto" w:fill="1F3B63"/>
          </w:tcPr>
          <w:p w14:paraId="131B020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Achado</w:t>
            </w:r>
          </w:p>
        </w:tc>
      </w:tr>
      <w:tr w:rsidR="00BB1E70" w:rsidRPr="00280E21" w14:paraId="4DA2D85B" w14:textId="77777777" w:rsidTr="009F51CA">
        <w:trPr>
          <w:jc w:val="center"/>
        </w:trPr>
        <w:tc>
          <w:tcPr>
            <w:tcW w:w="2127" w:type="dxa"/>
          </w:tcPr>
          <w:p w14:paraId="747536A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Fikrie 2021 (n=586)</w:t>
            </w:r>
          </w:p>
        </w:tc>
        <w:tc>
          <w:tcPr>
            <w:tcW w:w="1134" w:type="dxa"/>
          </w:tcPr>
          <w:p w14:paraId="4FBE7EB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Etiópia</w:t>
            </w:r>
          </w:p>
        </w:tc>
        <w:tc>
          <w:tcPr>
            <w:tcW w:w="6711" w:type="dxa"/>
          </w:tcPr>
          <w:p w14:paraId="5A10B2A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Bom conhecimento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64,7 %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atitude positiva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35,3 %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residência rural AOR 0,19</w:t>
            </w:r>
          </w:p>
        </w:tc>
      </w:tr>
      <w:tr w:rsidR="00BB1E70" w:rsidRPr="00280E21" w14:paraId="0FCBC938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7B53088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Samuel 2021 (n=623)</w:t>
            </w:r>
          </w:p>
        </w:tc>
        <w:tc>
          <w:tcPr>
            <w:tcW w:w="1134" w:type="dxa"/>
            <w:shd w:val="clear" w:color="auto" w:fill="F2F5FA"/>
          </w:tcPr>
          <w:p w14:paraId="3B7B0B5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Etiópia</w:t>
            </w:r>
          </w:p>
        </w:tc>
        <w:tc>
          <w:tcPr>
            <w:tcW w:w="6711" w:type="dxa"/>
            <w:shd w:val="clear" w:color="auto" w:fill="F2F5FA"/>
          </w:tcPr>
          <w:p w14:paraId="7A6F02C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Bom conhecimento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54,9 %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iliteracia AOR 0,10</w:t>
            </w:r>
          </w:p>
        </w:tc>
      </w:tr>
      <w:tr w:rsidR="00BB1E70" w:rsidRPr="00280E21" w14:paraId="32F4D888" w14:textId="77777777" w:rsidTr="009F51CA">
        <w:trPr>
          <w:jc w:val="center"/>
        </w:trPr>
        <w:tc>
          <w:tcPr>
            <w:tcW w:w="2127" w:type="dxa"/>
          </w:tcPr>
          <w:p w14:paraId="17F3334D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Olawoye 2022 (n=120)</w:t>
            </w:r>
          </w:p>
        </w:tc>
        <w:tc>
          <w:tcPr>
            <w:tcW w:w="1134" w:type="dxa"/>
          </w:tcPr>
          <w:p w14:paraId="6803CF2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Nigéria</w:t>
            </w:r>
          </w:p>
        </w:tc>
        <w:tc>
          <w:tcPr>
            <w:tcW w:w="6711" w:type="dxa"/>
          </w:tcPr>
          <w:p w14:paraId="752F4EF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Só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5,8 %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 bom conhecimento de glaucoma;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escolaridade AOR 8,76</w:t>
            </w:r>
          </w:p>
        </w:tc>
      </w:tr>
      <w:tr w:rsidR="00BB1E70" w:rsidRPr="00280E21" w14:paraId="582ABD4E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7623B6D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Du 2022 (n=1.495)</w:t>
            </w:r>
          </w:p>
        </w:tc>
        <w:tc>
          <w:tcPr>
            <w:tcW w:w="1134" w:type="dxa"/>
            <w:shd w:val="clear" w:color="auto" w:fill="F2F5FA"/>
          </w:tcPr>
          <w:p w14:paraId="532A435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China rural</w:t>
            </w:r>
          </w:p>
        </w:tc>
        <w:tc>
          <w:tcPr>
            <w:tcW w:w="6711" w:type="dxa"/>
            <w:shd w:val="clear" w:color="auto" w:fill="F2F5FA"/>
          </w:tcPr>
          <w:p w14:paraId="1766A73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Bom conhecimento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62,9 %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associado a cirurgia OR 4,92</w:t>
            </w:r>
          </w:p>
        </w:tc>
      </w:tr>
      <w:tr w:rsidR="00BB1E70" w:rsidRPr="00280E21" w14:paraId="696B44B2" w14:textId="77777777" w:rsidTr="009F51CA">
        <w:trPr>
          <w:jc w:val="center"/>
        </w:trPr>
        <w:tc>
          <w:tcPr>
            <w:tcW w:w="2127" w:type="dxa"/>
          </w:tcPr>
          <w:p w14:paraId="7AAD339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Gebretnsae 2020 (n=194)</w:t>
            </w:r>
          </w:p>
        </w:tc>
        <w:tc>
          <w:tcPr>
            <w:tcW w:w="1134" w:type="dxa"/>
          </w:tcPr>
          <w:p w14:paraId="61A2563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Etiópia</w:t>
            </w:r>
          </w:p>
        </w:tc>
        <w:tc>
          <w:tcPr>
            <w:tcW w:w="6711" w:type="dxa"/>
          </w:tcPr>
          <w:p w14:paraId="2BD36F8D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Conhecimento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51 %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atitude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49,5 %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práticas apenas 35,6 %</w:t>
            </w:r>
            <w:r w:rsidRPr="00280E21">
              <w:rPr>
                <w:rFonts w:ascii="Times New Roman" w:hAnsi="Times New Roman" w:cs="Times New Roman"/>
                <w:sz w:val="19"/>
              </w:rPr>
              <w:t>; educação AOR 4,10</w:t>
            </w:r>
          </w:p>
        </w:tc>
      </w:tr>
      <w:tr w:rsidR="00BB1E70" w:rsidRPr="00280E21" w14:paraId="6ACE50A2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53373DA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lastRenderedPageBreak/>
              <w:t>Churko 2021 (n=796)</w:t>
            </w:r>
          </w:p>
        </w:tc>
        <w:tc>
          <w:tcPr>
            <w:tcW w:w="1134" w:type="dxa"/>
            <w:shd w:val="clear" w:color="auto" w:fill="F2F5FA"/>
          </w:tcPr>
          <w:p w14:paraId="0944F31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Etiópia</w:t>
            </w:r>
          </w:p>
        </w:tc>
        <w:tc>
          <w:tcPr>
            <w:tcW w:w="6711" w:type="dxa"/>
            <w:shd w:val="clear" w:color="auto" w:fill="F2F5FA"/>
          </w:tcPr>
          <w:p w14:paraId="352F189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Conhecimento inadequado em 76,8 %</w:t>
            </w:r>
            <w:r w:rsidRPr="00280E21">
              <w:rPr>
                <w:rFonts w:ascii="Times New Roman" w:hAnsi="Times New Roman" w:cs="Times New Roman"/>
                <w:sz w:val="19"/>
              </w:rPr>
              <w:t>; atitude favorável 69,3 %</w:t>
            </w:r>
          </w:p>
        </w:tc>
      </w:tr>
      <w:tr w:rsidR="00BB1E70" w:rsidRPr="00280E21" w14:paraId="60DE91A6" w14:textId="77777777" w:rsidTr="009F51CA">
        <w:trPr>
          <w:jc w:val="center"/>
        </w:trPr>
        <w:tc>
          <w:tcPr>
            <w:tcW w:w="2127" w:type="dxa"/>
          </w:tcPr>
          <w:p w14:paraId="07F84E8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Yirdaw 2024 (n=400)</w:t>
            </w:r>
          </w:p>
        </w:tc>
        <w:tc>
          <w:tcPr>
            <w:tcW w:w="1134" w:type="dxa"/>
          </w:tcPr>
          <w:p w14:paraId="5BE8D49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Etiópia</w:t>
            </w:r>
          </w:p>
        </w:tc>
        <w:tc>
          <w:tcPr>
            <w:tcW w:w="6711" w:type="dxa"/>
          </w:tcPr>
          <w:p w14:paraId="0E2FF53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Conhecimento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74,0 %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práticas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71,5 %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conhecimento→prática AOR 4,87</w:t>
            </w:r>
          </w:p>
        </w:tc>
      </w:tr>
      <w:tr w:rsidR="00BB1E70" w:rsidRPr="00280E21" w14:paraId="77466279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55866B4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Abumhadi 2024 (n=241)</w:t>
            </w:r>
          </w:p>
        </w:tc>
        <w:tc>
          <w:tcPr>
            <w:tcW w:w="1134" w:type="dxa"/>
            <w:shd w:val="clear" w:color="auto" w:fill="F2F5FA"/>
          </w:tcPr>
          <w:p w14:paraId="20CDE10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Sudão</w:t>
            </w:r>
          </w:p>
        </w:tc>
        <w:tc>
          <w:tcPr>
            <w:tcW w:w="6711" w:type="dxa"/>
            <w:shd w:val="clear" w:color="auto" w:fill="F2F5FA"/>
          </w:tcPr>
          <w:p w14:paraId="153D99E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Conhecimento 55,2 %;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atitude 79,3 % mas exame regular só 27,8 %</w:t>
            </w:r>
          </w:p>
        </w:tc>
      </w:tr>
      <w:tr w:rsidR="00BB1E70" w:rsidRPr="00280E21" w14:paraId="543608FE" w14:textId="77777777" w:rsidTr="009F51CA">
        <w:trPr>
          <w:jc w:val="center"/>
        </w:trPr>
        <w:tc>
          <w:tcPr>
            <w:tcW w:w="2127" w:type="dxa"/>
          </w:tcPr>
          <w:p w14:paraId="623CAC3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Kiva 2024 (n=309)</w:t>
            </w:r>
          </w:p>
        </w:tc>
        <w:tc>
          <w:tcPr>
            <w:tcW w:w="1134" w:type="dxa"/>
          </w:tcPr>
          <w:p w14:paraId="4CA6FE4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África do Sul</w:t>
            </w:r>
          </w:p>
        </w:tc>
        <w:tc>
          <w:tcPr>
            <w:tcW w:w="6711" w:type="dxa"/>
          </w:tcPr>
          <w:p w14:paraId="3D75331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Urbanos com melhor conhecimento de causas;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lacunas nos sintomas</w:t>
            </w:r>
          </w:p>
        </w:tc>
      </w:tr>
      <w:tr w:rsidR="00BB1E70" w:rsidRPr="00280E21" w14:paraId="4E9AE375" w14:textId="77777777" w:rsidTr="009F51CA">
        <w:trPr>
          <w:jc w:val="center"/>
        </w:trPr>
        <w:tc>
          <w:tcPr>
            <w:tcW w:w="2127" w:type="dxa"/>
            <w:shd w:val="clear" w:color="auto" w:fill="F2F5FA"/>
          </w:tcPr>
          <w:p w14:paraId="3803D9F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Sengo 2022 (n=338)</w:t>
            </w:r>
          </w:p>
        </w:tc>
        <w:tc>
          <w:tcPr>
            <w:tcW w:w="1134" w:type="dxa"/>
            <w:shd w:val="clear" w:color="auto" w:fill="F2F5FA"/>
          </w:tcPr>
          <w:p w14:paraId="06CE46A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Moçambique</w:t>
            </w:r>
          </w:p>
        </w:tc>
        <w:tc>
          <w:tcPr>
            <w:tcW w:w="6711" w:type="dxa"/>
            <w:shd w:val="clear" w:color="auto" w:fill="F2F5FA"/>
          </w:tcPr>
          <w:p w14:paraId="32785D2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Sintomas 49,4 %; sem exame 41,7 %;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automedicação 20,4 %</w:t>
            </w:r>
          </w:p>
        </w:tc>
      </w:tr>
      <w:tr w:rsidR="00BB1E70" w:rsidRPr="00280E21" w14:paraId="1D0549B7" w14:textId="77777777" w:rsidTr="009F51CA">
        <w:trPr>
          <w:jc w:val="center"/>
        </w:trPr>
        <w:tc>
          <w:tcPr>
            <w:tcW w:w="2127" w:type="dxa"/>
          </w:tcPr>
          <w:p w14:paraId="2714D91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Thompson 2015 (n=4.601)</w:t>
            </w:r>
          </w:p>
        </w:tc>
        <w:tc>
          <w:tcPr>
            <w:tcW w:w="1134" w:type="dxa"/>
          </w:tcPr>
          <w:p w14:paraId="65DA370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Moçambique</w:t>
            </w:r>
          </w:p>
        </w:tc>
        <w:tc>
          <w:tcPr>
            <w:tcW w:w="6711" w:type="dxa"/>
          </w:tcPr>
          <w:p w14:paraId="7F7DED4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Custo 53 % · sem necessidade sentida 28 % · distância 15 %</w:t>
            </w:r>
          </w:p>
        </w:tc>
      </w:tr>
    </w:tbl>
    <w:p w14:paraId="6EE9A182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13E5E2A1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O padrão recorrente que o autor identifica — e é a melhor síntese do quadro:</w:t>
      </w:r>
      <w:r w:rsidRPr="00280E21">
        <w:rPr>
          <w:rFonts w:ascii="Times New Roman" w:hAnsi="Times New Roman" w:cs="Times New Roman"/>
          <w:i/>
          <w:color w:val="444444"/>
        </w:rPr>
        <w:t xml:space="preserve"> «o conhecimento é frequentemente moderado, as atitudes tendem a ser mais favoráveis do que as práticas, e a escolaridade e a educação para a saúde surgem sistematicamente como factores associados a melhores resultados.»</w:t>
      </w:r>
    </w:p>
    <w:p w14:paraId="7533EB44" w14:textId="77777777" w:rsidR="00BB1E70" w:rsidRPr="00280E21" w:rsidRDefault="00BB1E7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</w:p>
    <w:p w14:paraId="63D5730E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Veja-se Abumhadi: </w:t>
      </w:r>
      <w:r w:rsidRPr="00280E21">
        <w:rPr>
          <w:rFonts w:ascii="Times New Roman" w:hAnsi="Times New Roman" w:cs="Times New Roman"/>
          <w:b/>
          <w:i/>
          <w:color w:val="444444"/>
        </w:rPr>
        <w:t>79,3 % com atitude favorável, mas só 27,8 % faz exame ocular regular.</w:t>
      </w:r>
      <w:r w:rsidRPr="00280E21">
        <w:rPr>
          <w:rFonts w:ascii="Times New Roman" w:hAnsi="Times New Roman" w:cs="Times New Roman"/>
          <w:i/>
          <w:color w:val="444444"/>
        </w:rPr>
        <w:t xml:space="preserve"> </w:t>
      </w:r>
      <w:r w:rsidRPr="00280E21">
        <w:rPr>
          <w:rFonts w:ascii="Times New Roman" w:hAnsi="Times New Roman" w:cs="Times New Roman"/>
          <w:b/>
          <w:i/>
          <w:color w:val="444444"/>
        </w:rPr>
        <w:t>É exactamente esse fosso atitude→prática que um inquérito CAP existe para medir.</w:t>
      </w:r>
    </w:p>
    <w:p w14:paraId="0EABDAE6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71F951DD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 Metodologia</w:t>
      </w:r>
    </w:p>
    <w:p w14:paraId="04C680DA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8.1 Amostragem por conglomerados — em duas etapas</w:t>
      </w:r>
    </w:p>
    <w:p w14:paraId="4E49DE85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sz w:val="19"/>
        </w:rPr>
        <w:t>`</w:t>
      </w:r>
    </w:p>
    <w:p w14:paraId="02EA7E6B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1.ª etapa: selecção ALEATÓRIA de conglomerados (bairros, aldeias, povoados)</w:t>
      </w:r>
    </w:p>
    <w:p w14:paraId="79008A23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2.ª etapa: selecção SISTEMÁTICA de agregados familiares</w:t>
      </w:r>
    </w:p>
    <w:p w14:paraId="24C0548F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→ em cada agregado, um adulto elegível</w:t>
      </w:r>
    </w:p>
    <w:p w14:paraId="0178B577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sz w:val="19"/>
        </w:rPr>
        <w:t>`</w:t>
      </w:r>
    </w:p>
    <w:p w14:paraId="0ED63C99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Justificação explícita e correcta:</w:t>
      </w:r>
      <w:r w:rsidRPr="00280E21">
        <w:rPr>
          <w:rFonts w:ascii="Times New Roman" w:hAnsi="Times New Roman" w:cs="Times New Roman"/>
          <w:i/>
          <w:color w:val="444444"/>
        </w:rPr>
        <w:t xml:space="preserve"> «A opção por amostragem probabilística, em substituição da amostragem por conveniência, é decisiva para garantir a representatividade e a validade externa dos resultados e a legitimidade dos testes de associação previstos.»</w:t>
      </w:r>
    </w:p>
    <w:p w14:paraId="4BDF6D0F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Este é um dos pontos mais fortes do protocolo</w:t>
      </w:r>
      <w:r w:rsidRPr="00280E21">
        <w:rPr>
          <w:rFonts w:ascii="Times New Roman" w:hAnsi="Times New Roman" w:cs="Times New Roman"/>
          <w:i/>
          <w:color w:val="444444"/>
        </w:rPr>
        <w:t xml:space="preserve"> — a maioria dos TCC recorre a conveniência e depois faz inferência, o que é metodologicamente frágil. Aqui a escolha está fundamentada.</w:t>
      </w:r>
    </w:p>
    <w:p w14:paraId="5567B59F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8.2 Critérios de elegibilidade</w:t>
      </w:r>
    </w:p>
    <w:p w14:paraId="06AF7CC4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Inclusão:</w:t>
      </w:r>
      <w:r w:rsidRPr="00280E21">
        <w:rPr>
          <w:rFonts w:ascii="Times New Roman" w:hAnsi="Times New Roman" w:cs="Times New Roman"/>
        </w:rPr>
        <w:t xml:space="preserve"> residência na comunidade </w:t>
      </w:r>
      <w:r w:rsidRPr="00280E21">
        <w:rPr>
          <w:rFonts w:ascii="Times New Roman" w:hAnsi="Times New Roman" w:cs="Times New Roman"/>
          <w:b/>
        </w:rPr>
        <w:t>há ≥ 6 meses</w:t>
      </w:r>
      <w:r w:rsidRPr="00280E21">
        <w:rPr>
          <w:rFonts w:ascii="Times New Roman" w:hAnsi="Times New Roman" w:cs="Times New Roman"/>
        </w:rPr>
        <w:t xml:space="preserve"> · idade ≥ 18 anos · consentimento livre e esclarecido.</w:t>
      </w:r>
    </w:p>
    <w:p w14:paraId="1552232D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Exclusão:</w:t>
      </w:r>
      <w:r w:rsidRPr="00280E21">
        <w:rPr>
          <w:rFonts w:ascii="Times New Roman" w:hAnsi="Times New Roman" w:cs="Times New Roman"/>
        </w:rPr>
        <w:t xml:space="preserve"> perturbações cognitivas graves · limitações de comunicação sem acompanhante · doença grave no momento da recolha.</w:t>
      </w:r>
    </w:p>
    <w:p w14:paraId="0B1C4320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</w:rPr>
        <w:t>Justificação da faixa etária: os adultos são responsáveis pelas decisões de procura de cuidados para si e para o agregado, e permitem consentimento directo.</w:t>
      </w:r>
    </w:p>
    <w:p w14:paraId="5647EAEE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8.3 Instrumento — adaptado, não construído de raiz</w:t>
      </w:r>
    </w:p>
    <w:p w14:paraId="200C912B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Três fontes validadas combinadas:</w:t>
      </w:r>
    </w:p>
    <w:p w14:paraId="1D29D6E5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Glaucoma Knowledge Level Questionnaire</w:t>
      </w:r>
      <w:r w:rsidRPr="00280E21">
        <w:rPr>
          <w:rFonts w:ascii="Times New Roman" w:hAnsi="Times New Roman" w:cs="Times New Roman"/>
        </w:rPr>
        <w:t xml:space="preserve"> (Demirtas 2018);</w:t>
      </w:r>
    </w:p>
    <w:p w14:paraId="6925D27A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PEPC-KAPQ</w:t>
      </w:r>
      <w:r w:rsidRPr="00280E21">
        <w:rPr>
          <w:rFonts w:ascii="Times New Roman" w:hAnsi="Times New Roman" w:cs="Times New Roman"/>
        </w:rPr>
        <w:t xml:space="preserve"> — questionário parental de CAP em problemas oculares (Ghani 2023);</w:t>
      </w:r>
    </w:p>
    <w:p w14:paraId="6B087081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lastRenderedPageBreak/>
        <w:t>Módulo de barreiras da metodologia RAAB, 7.ª versão</w:t>
      </w:r>
      <w:r w:rsidRPr="00280E21">
        <w:rPr>
          <w:rFonts w:ascii="Times New Roman" w:hAnsi="Times New Roman" w:cs="Times New Roman"/>
        </w:rPr>
        <w:t xml:space="preserve"> (McCormick 2024) — para a secção de práticas e barreiras.</w:t>
      </w:r>
    </w:p>
    <w:p w14:paraId="3DD0EB11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Quatro secções:</w:t>
      </w:r>
      <w:r w:rsidRPr="00280E21">
        <w:rPr>
          <w:rFonts w:ascii="Times New Roman" w:hAnsi="Times New Roman" w:cs="Times New Roman"/>
        </w:rPr>
        <w:t xml:space="preserve"> sociodemográficos · conhecimento · atitudes · práticas e barreiras.</w:t>
      </w:r>
    </w:p>
    <w:p w14:paraId="12D6BBBA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Validação prevista:</w:t>
      </w:r>
    </w:p>
    <w:p w14:paraId="52EC8C2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Adaptação transcultural + tradução para </w:t>
      </w:r>
      <w:r w:rsidRPr="00280E21">
        <w:rPr>
          <w:rFonts w:ascii="Times New Roman" w:hAnsi="Times New Roman" w:cs="Times New Roman"/>
          <w:b/>
        </w:rPr>
        <w:t>português simplificado</w:t>
      </w:r>
      <w:r w:rsidRPr="00280E21">
        <w:rPr>
          <w:rFonts w:ascii="Times New Roman" w:hAnsi="Times New Roman" w:cs="Times New Roman"/>
        </w:rPr>
        <w:t>;</w:t>
      </w:r>
    </w:p>
    <w:p w14:paraId="57C9E692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KR-20</w:t>
      </w:r>
      <w:r w:rsidRPr="00280E21">
        <w:rPr>
          <w:rFonts w:ascii="Times New Roman" w:hAnsi="Times New Roman" w:cs="Times New Roman"/>
        </w:rPr>
        <w:t xml:space="preserve"> (Kuder-Richardson 20) para os itens </w:t>
      </w:r>
      <w:r w:rsidRPr="00280E21">
        <w:rPr>
          <w:rFonts w:ascii="Times New Roman" w:hAnsi="Times New Roman" w:cs="Times New Roman"/>
          <w:b/>
        </w:rPr>
        <w:t>dicotómicos de conhecimento</w:t>
      </w:r>
      <w:r w:rsidRPr="00280E21">
        <w:rPr>
          <w:rFonts w:ascii="Times New Roman" w:hAnsi="Times New Roman" w:cs="Times New Roman"/>
        </w:rPr>
        <w:t>;</w:t>
      </w:r>
    </w:p>
    <w:p w14:paraId="779F5B88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Alfa de Cronbach</w:t>
      </w:r>
      <w:r w:rsidRPr="00280E21">
        <w:rPr>
          <w:rFonts w:ascii="Times New Roman" w:hAnsi="Times New Roman" w:cs="Times New Roman"/>
        </w:rPr>
        <w:t xml:space="preserve"> para as escalas de </w:t>
      </w:r>
      <w:r w:rsidRPr="00280E21">
        <w:rPr>
          <w:rFonts w:ascii="Times New Roman" w:hAnsi="Times New Roman" w:cs="Times New Roman"/>
          <w:b/>
        </w:rPr>
        <w:t>atitudes e práticas</w:t>
      </w:r>
      <w:r w:rsidRPr="00280E21">
        <w:rPr>
          <w:rFonts w:ascii="Times New Roman" w:hAnsi="Times New Roman" w:cs="Times New Roman"/>
        </w:rPr>
        <w:t>;</w:t>
      </w:r>
    </w:p>
    <w:p w14:paraId="37877135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Critério: </w:t>
      </w:r>
      <w:r w:rsidRPr="00280E21">
        <w:rPr>
          <w:rFonts w:ascii="Times New Roman" w:hAnsi="Times New Roman" w:cs="Times New Roman"/>
          <w:b/>
        </w:rPr>
        <w:t>≥ 0,70</w:t>
      </w:r>
      <w:r w:rsidRPr="00280E21">
        <w:rPr>
          <w:rFonts w:ascii="Times New Roman" w:hAnsi="Times New Roman" w:cs="Times New Roman"/>
        </w:rPr>
        <w:t xml:space="preserve"> em ambos.</w:t>
      </w:r>
    </w:p>
    <w:p w14:paraId="620EE162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i/>
          <w:color w:val="444444"/>
        </w:rPr>
        <w:t>💡</w:t>
      </w:r>
      <w:r w:rsidRPr="00280E21">
        <w:rPr>
          <w:rFonts w:ascii="Times New Roman" w:hAnsi="Times New Roman" w:cs="Times New Roman"/>
          <w:i/>
          <w:color w:val="444444"/>
        </w:rPr>
        <w:t xml:space="preserve"> </w:t>
      </w:r>
      <w:r w:rsidRPr="00280E21">
        <w:rPr>
          <w:rFonts w:ascii="Times New Roman" w:hAnsi="Times New Roman" w:cs="Times New Roman"/>
          <w:b/>
          <w:i/>
          <w:color w:val="444444"/>
        </w:rPr>
        <w:t>Detalhe técnico que mostra domínio:</w:t>
      </w:r>
      <w:r w:rsidRPr="00280E21">
        <w:rPr>
          <w:rFonts w:ascii="Times New Roman" w:hAnsi="Times New Roman" w:cs="Times New Roman"/>
          <w:i/>
          <w:color w:val="444444"/>
        </w:rPr>
        <w:t xml:space="preserve"> usar </w:t>
      </w:r>
      <w:r w:rsidRPr="00280E21">
        <w:rPr>
          <w:rFonts w:ascii="Times New Roman" w:hAnsi="Times New Roman" w:cs="Times New Roman"/>
          <w:b/>
          <w:i/>
          <w:color w:val="444444"/>
        </w:rPr>
        <w:t>KR-20 para itens dicotómicos</w:t>
      </w:r>
      <w:r w:rsidRPr="00280E21">
        <w:rPr>
          <w:rFonts w:ascii="Times New Roman" w:hAnsi="Times New Roman" w:cs="Times New Roman"/>
          <w:i/>
          <w:color w:val="444444"/>
        </w:rPr>
        <w:t xml:space="preserve"> e </w:t>
      </w:r>
      <w:r w:rsidRPr="00280E21">
        <w:rPr>
          <w:rFonts w:ascii="Times New Roman" w:hAnsi="Times New Roman" w:cs="Times New Roman"/>
          <w:b/>
          <w:i/>
          <w:color w:val="444444"/>
        </w:rPr>
        <w:t>Cronbach para escalas</w:t>
      </w:r>
      <w:r w:rsidRPr="00280E21">
        <w:rPr>
          <w:rFonts w:ascii="Times New Roman" w:hAnsi="Times New Roman" w:cs="Times New Roman"/>
          <w:i/>
          <w:color w:val="444444"/>
        </w:rPr>
        <w:t xml:space="preserve"> é a escolha estatisticamente correcta — muitos trabalhos usam Cronbach para tudo.</w:t>
      </w:r>
    </w:p>
    <w:p w14:paraId="6FE9525A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8.4 Pontos de corte de Bloom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B1E70" w:rsidRPr="00280E21" w14:paraId="2C4F93EB" w14:textId="77777777">
        <w:trPr>
          <w:jc w:val="center"/>
        </w:trPr>
        <w:tc>
          <w:tcPr>
            <w:tcW w:w="4986" w:type="dxa"/>
            <w:shd w:val="clear" w:color="auto" w:fill="1F3B63"/>
          </w:tcPr>
          <w:p w14:paraId="65093A2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Classificação</w:t>
            </w:r>
          </w:p>
        </w:tc>
        <w:tc>
          <w:tcPr>
            <w:tcW w:w="4986" w:type="dxa"/>
            <w:shd w:val="clear" w:color="auto" w:fill="1F3B63"/>
          </w:tcPr>
          <w:p w14:paraId="2E090D4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Critério</w:t>
            </w:r>
          </w:p>
        </w:tc>
      </w:tr>
      <w:tr w:rsidR="00BB1E70" w:rsidRPr="00280E21" w14:paraId="400FE935" w14:textId="77777777">
        <w:trPr>
          <w:jc w:val="center"/>
        </w:trPr>
        <w:tc>
          <w:tcPr>
            <w:tcW w:w="4986" w:type="dxa"/>
          </w:tcPr>
          <w:p w14:paraId="03EA758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Bom</w:t>
            </w:r>
          </w:p>
        </w:tc>
        <w:tc>
          <w:tcPr>
            <w:tcW w:w="4986" w:type="dxa"/>
          </w:tcPr>
          <w:p w14:paraId="54AB05F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≥ 80 % da pontuação máxima</w:t>
            </w:r>
          </w:p>
        </w:tc>
      </w:tr>
      <w:tr w:rsidR="00BB1E70" w:rsidRPr="00280E21" w14:paraId="6A077E5D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3D727D5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Moderado</w:t>
            </w:r>
          </w:p>
        </w:tc>
        <w:tc>
          <w:tcPr>
            <w:tcW w:w="4986" w:type="dxa"/>
            <w:shd w:val="clear" w:color="auto" w:fill="F2F5FA"/>
          </w:tcPr>
          <w:p w14:paraId="6C3FE37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60–79 %</w:t>
            </w:r>
          </w:p>
        </w:tc>
      </w:tr>
      <w:tr w:rsidR="00BB1E70" w:rsidRPr="00280E21" w14:paraId="7E307171" w14:textId="77777777">
        <w:trPr>
          <w:jc w:val="center"/>
        </w:trPr>
        <w:tc>
          <w:tcPr>
            <w:tcW w:w="4986" w:type="dxa"/>
          </w:tcPr>
          <w:p w14:paraId="3C87A01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Fraco</w:t>
            </w:r>
          </w:p>
        </w:tc>
        <w:tc>
          <w:tcPr>
            <w:tcW w:w="4986" w:type="dxa"/>
          </w:tcPr>
          <w:p w14:paraId="3A16225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&lt; 60 %</w:t>
            </w:r>
          </w:p>
        </w:tc>
      </w:tr>
    </w:tbl>
    <w:p w14:paraId="237CF656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0C030581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8.5 Recolha — adaptada ao contexto</w:t>
      </w:r>
    </w:p>
    <w:p w14:paraId="6AF6EB8B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Entrevista estruturada</w:t>
      </w:r>
      <w:r w:rsidRPr="00280E21">
        <w:rPr>
          <w:rFonts w:ascii="Times New Roman" w:hAnsi="Times New Roman" w:cs="Times New Roman"/>
        </w:rPr>
        <w:t xml:space="preserve"> conduzida por entrevistadores treinados;</w:t>
      </w:r>
    </w:p>
    <w:p w14:paraId="1DB730DB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Em Emakhuwa ou português simplificado, à escolha do participante</w:t>
      </w:r>
      <w:r w:rsidRPr="00280E21">
        <w:rPr>
          <w:rFonts w:ascii="Times New Roman" w:hAnsi="Times New Roman" w:cs="Times New Roman"/>
        </w:rPr>
        <w:t>;</w:t>
      </w:r>
    </w:p>
    <w:p w14:paraId="17D9F0B1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Justificação: </w:t>
      </w:r>
      <w:r w:rsidRPr="00280E21">
        <w:rPr>
          <w:rFonts w:ascii="Times New Roman" w:hAnsi="Times New Roman" w:cs="Times New Roman"/>
          <w:i/>
        </w:rPr>
        <w:t>«a entrevista estruturada é a técnica mais adequada em contextos de baixa alfabetização, por garantir a compreensão das perguntas, reduzir os erros de interpretação e assegurar uma taxa de resposta elevada»</w:t>
      </w:r>
      <w:r w:rsidRPr="00280E21">
        <w:rPr>
          <w:rFonts w:ascii="Times New Roman" w:hAnsi="Times New Roman" w:cs="Times New Roman"/>
        </w:rPr>
        <w:t>;</w:t>
      </w:r>
    </w:p>
    <w:p w14:paraId="1EF37372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Registo em formulário impresso </w:t>
      </w:r>
      <w:r w:rsidRPr="00280E21">
        <w:rPr>
          <w:rFonts w:ascii="Times New Roman" w:hAnsi="Times New Roman" w:cs="Times New Roman"/>
          <w:b/>
        </w:rPr>
        <w:t>ou electrónico (tablet/telemóvel)</w:t>
      </w:r>
      <w:r w:rsidRPr="00280E21">
        <w:rPr>
          <w:rFonts w:ascii="Times New Roman" w:hAnsi="Times New Roman" w:cs="Times New Roman"/>
        </w:rPr>
        <w:t xml:space="preserve"> quando disponível.</w:t>
      </w:r>
    </w:p>
    <w:p w14:paraId="7CA09847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8.6 Ética — bem construída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704"/>
      </w:tblGrid>
      <w:tr w:rsidR="00BB1E70" w:rsidRPr="00280E21" w14:paraId="700F0180" w14:textId="77777777" w:rsidTr="009F51CA">
        <w:trPr>
          <w:jc w:val="center"/>
        </w:trPr>
        <w:tc>
          <w:tcPr>
            <w:tcW w:w="2268" w:type="dxa"/>
            <w:shd w:val="clear" w:color="auto" w:fill="1F3B63"/>
          </w:tcPr>
          <w:p w14:paraId="37FEE10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Salvaguarda</w:t>
            </w:r>
            <w:proofErr w:type="spellEnd"/>
          </w:p>
        </w:tc>
        <w:tc>
          <w:tcPr>
            <w:tcW w:w="7704" w:type="dxa"/>
            <w:shd w:val="clear" w:color="auto" w:fill="1F3B63"/>
          </w:tcPr>
          <w:p w14:paraId="480B2EC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Detalhe</w:t>
            </w:r>
          </w:p>
        </w:tc>
      </w:tr>
      <w:tr w:rsidR="00BB1E70" w:rsidRPr="00280E21" w14:paraId="2436F56C" w14:textId="77777777" w:rsidTr="009F51CA">
        <w:trPr>
          <w:jc w:val="center"/>
        </w:trPr>
        <w:tc>
          <w:tcPr>
            <w:tcW w:w="2268" w:type="dxa"/>
          </w:tcPr>
          <w:p w14:paraId="0AB990F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Aprovação</w:t>
            </w:r>
          </w:p>
        </w:tc>
        <w:tc>
          <w:tcPr>
            <w:tcW w:w="7704" w:type="dxa"/>
          </w:tcPr>
          <w:p w14:paraId="0BFA811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CIBS-UniLúrio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e, quando aplicável,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CNBS</w:t>
            </w:r>
            <w:r w:rsidRPr="00280E21">
              <w:rPr>
                <w:rFonts w:ascii="Times New Roman" w:hAnsi="Times New Roman" w:cs="Times New Roman"/>
                <w:sz w:val="19"/>
              </w:rPr>
              <w:t>; recolha só após parecer favorável e número de referência</w:t>
            </w:r>
          </w:p>
        </w:tc>
      </w:tr>
      <w:tr w:rsidR="00BB1E70" w:rsidRPr="00280E21" w14:paraId="08A99D9E" w14:textId="77777777" w:rsidTr="009F51CA">
        <w:trPr>
          <w:jc w:val="center"/>
        </w:trPr>
        <w:tc>
          <w:tcPr>
            <w:tcW w:w="2268" w:type="dxa"/>
            <w:shd w:val="clear" w:color="auto" w:fill="F2F5FA"/>
          </w:tcPr>
          <w:p w14:paraId="6B71EE3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Autorizações locais</w:t>
            </w:r>
          </w:p>
        </w:tc>
        <w:tc>
          <w:tcPr>
            <w:tcW w:w="7704" w:type="dxa"/>
            <w:shd w:val="clear" w:color="auto" w:fill="F2F5FA"/>
          </w:tcPr>
          <w:p w14:paraId="0CCBFCB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Autoridades sanitárias e administrativas distritais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+ assentimento dos líderes comunitários e tradicionais (régulos)</w:t>
            </w:r>
          </w:p>
        </w:tc>
      </w:tr>
      <w:tr w:rsidR="00BB1E70" w:rsidRPr="00280E21" w14:paraId="133EA3E2" w14:textId="77777777" w:rsidTr="009F51CA">
        <w:trPr>
          <w:jc w:val="center"/>
        </w:trPr>
        <w:tc>
          <w:tcPr>
            <w:tcW w:w="2268" w:type="dxa"/>
          </w:tcPr>
          <w:p w14:paraId="6E107A4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Consentimento</w:t>
            </w:r>
          </w:p>
        </w:tc>
        <w:tc>
          <w:tcPr>
            <w:tcW w:w="7704" w:type="dxa"/>
          </w:tcPr>
          <w:p w14:paraId="09300BB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TCLE assinado;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para quem não saiba ler nem escrever, impressão digital na presença de testemunha imparcial</w:t>
            </w:r>
          </w:p>
        </w:tc>
      </w:tr>
      <w:tr w:rsidR="00BB1E70" w:rsidRPr="00280E21" w14:paraId="19560618" w14:textId="77777777" w:rsidTr="009F51CA">
        <w:trPr>
          <w:jc w:val="center"/>
        </w:trPr>
        <w:tc>
          <w:tcPr>
            <w:tcW w:w="2268" w:type="dxa"/>
            <w:shd w:val="clear" w:color="auto" w:fill="F2F5FA"/>
          </w:tcPr>
          <w:p w14:paraId="6521C94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Confidencialidade</w:t>
            </w:r>
          </w:p>
        </w:tc>
        <w:tc>
          <w:tcPr>
            <w:tcW w:w="7704" w:type="dxa"/>
            <w:shd w:val="clear" w:color="auto" w:fill="F2F5FA"/>
          </w:tcPr>
          <w:p w14:paraId="5C32864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Codificação dos questionários; acesso restrito</w:t>
            </w:r>
          </w:p>
        </w:tc>
      </w:tr>
      <w:tr w:rsidR="00BB1E70" w:rsidRPr="00280E21" w14:paraId="411FB02E" w14:textId="77777777" w:rsidTr="009F51CA">
        <w:trPr>
          <w:jc w:val="center"/>
        </w:trPr>
        <w:tc>
          <w:tcPr>
            <w:tcW w:w="2268" w:type="dxa"/>
          </w:tcPr>
          <w:p w14:paraId="1434985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Via de referenciação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</w:t>
            </w:r>
            <w:r w:rsidRPr="00280E21">
              <w:rPr>
                <w:rFonts w:ascii="Segoe UI Emoji" w:hAnsi="Segoe UI Emoji" w:cs="Segoe UI Emoji"/>
                <w:sz w:val="19"/>
              </w:rPr>
              <w:t>⭐</w:t>
            </w:r>
          </w:p>
        </w:tc>
        <w:tc>
          <w:tcPr>
            <w:tcW w:w="7704" w:type="dxa"/>
          </w:tcPr>
          <w:p w14:paraId="40C42DD9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i/>
                <w:sz w:val="19"/>
              </w:rPr>
              <w:t>«Os participantes em que forem identificadas queixas ou sinais oculares serão encaminhados, com o seu acordo, para a unidade sanitária do distrito de Monapo, assegurando o benefício directo da participação e o dever de cuidado»</w:t>
            </w:r>
          </w:p>
        </w:tc>
      </w:tr>
    </w:tbl>
    <w:p w14:paraId="77B6A016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342861DB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A via de referenciação é o melhor elemento ético do protocolo.</w:t>
      </w:r>
      <w:r w:rsidRPr="00280E21">
        <w:rPr>
          <w:rFonts w:ascii="Times New Roman" w:hAnsi="Times New Roman" w:cs="Times New Roman"/>
          <w:i/>
          <w:color w:val="444444"/>
        </w:rPr>
        <w:t xml:space="preserve"> Num estudo puramente observacional, o participante normalmente não retira benefício directo. Aqui, quem tiver sinais oculares é encaminhado. </w:t>
      </w:r>
      <w:r w:rsidRPr="00280E21">
        <w:rPr>
          <w:rFonts w:ascii="Times New Roman" w:hAnsi="Times New Roman" w:cs="Times New Roman"/>
          <w:b/>
          <w:i/>
          <w:color w:val="444444"/>
        </w:rPr>
        <w:t>Destacar isto na defesa.</w:t>
      </w:r>
    </w:p>
    <w:p w14:paraId="0C3EDDC3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lastRenderedPageBreak/>
        <w:t>8.7 Cronograma e orçamento</w:t>
      </w:r>
    </w:p>
    <w:p w14:paraId="62CE3517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Set/2026 – Dez/2027:</w:t>
      </w:r>
      <w:r w:rsidRPr="00280E21">
        <w:rPr>
          <w:rFonts w:ascii="Times New Roman" w:hAnsi="Times New Roman" w:cs="Times New Roman"/>
        </w:rPr>
        <w:t xml:space="preserve"> protocolo → aprovação ética → adaptação e validação do instrumento → </w:t>
      </w:r>
      <w:r w:rsidRPr="00280E21">
        <w:rPr>
          <w:rFonts w:ascii="Times New Roman" w:hAnsi="Times New Roman" w:cs="Times New Roman"/>
          <w:b/>
        </w:rPr>
        <w:t>pré-teste (piloto)</w:t>
      </w:r>
      <w:r w:rsidRPr="00280E21">
        <w:rPr>
          <w:rFonts w:ascii="Times New Roman" w:hAnsi="Times New Roman" w:cs="Times New Roman"/>
        </w:rPr>
        <w:t xml:space="preserve"> → </w:t>
      </w:r>
      <w:r w:rsidRPr="00280E21">
        <w:rPr>
          <w:rFonts w:ascii="Times New Roman" w:hAnsi="Times New Roman" w:cs="Times New Roman"/>
          <w:b/>
        </w:rPr>
        <w:t>recolha (Abr–Set/2027)</w:t>
      </w:r>
      <w:r w:rsidRPr="00280E21">
        <w:rPr>
          <w:rFonts w:ascii="Times New Roman" w:hAnsi="Times New Roman" w:cs="Times New Roman"/>
        </w:rPr>
        <w:t xml:space="preserve"> → análise → redacção.</w:t>
      </w:r>
    </w:p>
    <w:p w14:paraId="1BD7967D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Orçamento: 125.000 MZN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B1E70" w:rsidRPr="00280E21" w14:paraId="18DEE6B9" w14:textId="77777777">
        <w:trPr>
          <w:jc w:val="center"/>
        </w:trPr>
        <w:tc>
          <w:tcPr>
            <w:tcW w:w="4986" w:type="dxa"/>
            <w:shd w:val="clear" w:color="auto" w:fill="1F3B63"/>
          </w:tcPr>
          <w:p w14:paraId="38B4F8CD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Rubrica</w:t>
            </w:r>
          </w:p>
        </w:tc>
        <w:tc>
          <w:tcPr>
            <w:tcW w:w="4986" w:type="dxa"/>
            <w:shd w:val="clear" w:color="auto" w:fill="1F3B63"/>
          </w:tcPr>
          <w:p w14:paraId="11B99D9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MZN</w:t>
            </w:r>
          </w:p>
        </w:tc>
      </w:tr>
      <w:tr w:rsidR="00BB1E70" w:rsidRPr="00280E21" w14:paraId="579F8548" w14:textId="77777777">
        <w:trPr>
          <w:jc w:val="center"/>
        </w:trPr>
        <w:tc>
          <w:tcPr>
            <w:tcW w:w="4986" w:type="dxa"/>
          </w:tcPr>
          <w:p w14:paraId="3A460446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Honorários de entrevistadores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(4 pessoas)</w:t>
            </w:r>
          </w:p>
        </w:tc>
        <w:tc>
          <w:tcPr>
            <w:tcW w:w="4986" w:type="dxa"/>
          </w:tcPr>
          <w:p w14:paraId="2B1ECCB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48.000</w:t>
            </w:r>
          </w:p>
        </w:tc>
      </w:tr>
      <w:tr w:rsidR="00BB1E70" w:rsidRPr="00280E21" w14:paraId="3951010B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1DC8F2F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Impressão de questionários (700)</w:t>
            </w:r>
          </w:p>
        </w:tc>
        <w:tc>
          <w:tcPr>
            <w:tcW w:w="4986" w:type="dxa"/>
            <w:shd w:val="clear" w:color="auto" w:fill="F2F5FA"/>
          </w:tcPr>
          <w:p w14:paraId="411E0FCD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21.000</w:t>
            </w:r>
          </w:p>
        </w:tc>
      </w:tr>
      <w:tr w:rsidR="00BB1E70" w:rsidRPr="00280E21" w14:paraId="25DAFA9B" w14:textId="77777777">
        <w:trPr>
          <w:jc w:val="center"/>
        </w:trPr>
        <w:tc>
          <w:tcPr>
            <w:tcW w:w="4986" w:type="dxa"/>
          </w:tcPr>
          <w:p w14:paraId="73A1C71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Transporte da equipa (12 deslocações)</w:t>
            </w:r>
          </w:p>
        </w:tc>
        <w:tc>
          <w:tcPr>
            <w:tcW w:w="4986" w:type="dxa"/>
          </w:tcPr>
          <w:p w14:paraId="206034E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18.000</w:t>
            </w:r>
          </w:p>
        </w:tc>
      </w:tr>
      <w:tr w:rsidR="00BB1E70" w:rsidRPr="00280E21" w14:paraId="33FEC441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5CCCE0F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Impressão e encadernação (10 exemplares)</w:t>
            </w:r>
          </w:p>
        </w:tc>
        <w:tc>
          <w:tcPr>
            <w:tcW w:w="4986" w:type="dxa"/>
            <w:shd w:val="clear" w:color="auto" w:fill="F2F5FA"/>
          </w:tcPr>
          <w:p w14:paraId="3ADFBA67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12.000</w:t>
            </w:r>
          </w:p>
        </w:tc>
      </w:tr>
      <w:tr w:rsidR="00BB1E70" w:rsidRPr="00280E21" w14:paraId="5054E5A4" w14:textId="77777777">
        <w:trPr>
          <w:jc w:val="center"/>
        </w:trPr>
        <w:tc>
          <w:tcPr>
            <w:tcW w:w="4986" w:type="dxa"/>
          </w:tcPr>
          <w:p w14:paraId="4FBBCC5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Alimentação no terreno (20 dias)</w:t>
            </w:r>
          </w:p>
        </w:tc>
        <w:tc>
          <w:tcPr>
            <w:tcW w:w="4986" w:type="dxa"/>
          </w:tcPr>
          <w:p w14:paraId="729B714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10.000</w:t>
            </w:r>
          </w:p>
        </w:tc>
      </w:tr>
      <w:tr w:rsidR="00BB1E70" w:rsidRPr="00280E21" w14:paraId="278A0C2A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63FA975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Comunicação (4 meses)</w:t>
            </w:r>
          </w:p>
        </w:tc>
        <w:tc>
          <w:tcPr>
            <w:tcW w:w="4986" w:type="dxa"/>
            <w:shd w:val="clear" w:color="auto" w:fill="F2F5FA"/>
          </w:tcPr>
          <w:p w14:paraId="1F8E0CB4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8.000</w:t>
            </w:r>
          </w:p>
        </w:tc>
      </w:tr>
      <w:tr w:rsidR="00BB1E70" w:rsidRPr="00280E21" w14:paraId="3AE4A0EF" w14:textId="77777777">
        <w:trPr>
          <w:jc w:val="center"/>
        </w:trPr>
        <w:tc>
          <w:tcPr>
            <w:tcW w:w="4986" w:type="dxa"/>
          </w:tcPr>
          <w:p w14:paraId="760178A1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Análise de dados e software</w:t>
            </w:r>
          </w:p>
        </w:tc>
        <w:tc>
          <w:tcPr>
            <w:tcW w:w="4986" w:type="dxa"/>
          </w:tcPr>
          <w:p w14:paraId="317D9C5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5.000</w:t>
            </w:r>
          </w:p>
        </w:tc>
      </w:tr>
      <w:tr w:rsidR="00BB1E70" w:rsidRPr="00280E21" w14:paraId="5DB59CFF" w14:textId="77777777">
        <w:trPr>
          <w:jc w:val="center"/>
        </w:trPr>
        <w:tc>
          <w:tcPr>
            <w:tcW w:w="4986" w:type="dxa"/>
            <w:shd w:val="clear" w:color="auto" w:fill="F2F5FA"/>
          </w:tcPr>
          <w:p w14:paraId="6FFEC20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Material de escritório</w:t>
            </w:r>
          </w:p>
        </w:tc>
        <w:tc>
          <w:tcPr>
            <w:tcW w:w="4986" w:type="dxa"/>
            <w:shd w:val="clear" w:color="auto" w:fill="F2F5FA"/>
          </w:tcPr>
          <w:p w14:paraId="1B671C4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>3.000</w:t>
            </w:r>
          </w:p>
        </w:tc>
      </w:tr>
      <w:tr w:rsidR="00BB1E70" w:rsidRPr="00280E21" w14:paraId="0FFAAE5A" w14:textId="77777777">
        <w:trPr>
          <w:jc w:val="center"/>
        </w:trPr>
        <w:tc>
          <w:tcPr>
            <w:tcW w:w="4986" w:type="dxa"/>
          </w:tcPr>
          <w:p w14:paraId="1B54D97A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TOTAL</w:t>
            </w:r>
          </w:p>
        </w:tc>
        <w:tc>
          <w:tcPr>
            <w:tcW w:w="4986" w:type="dxa"/>
          </w:tcPr>
          <w:p w14:paraId="2127D3F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125.000</w:t>
            </w:r>
          </w:p>
        </w:tc>
      </w:tr>
    </w:tbl>
    <w:p w14:paraId="1EFF7875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49BCD81A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6CBB2EBD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9. Resultados esperados</w:t>
      </w:r>
    </w:p>
    <w:p w14:paraId="63FD0BEF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Perfil sociodemográfico + </w:t>
      </w:r>
      <w:r w:rsidRPr="00280E21">
        <w:rPr>
          <w:rFonts w:ascii="Times New Roman" w:hAnsi="Times New Roman" w:cs="Times New Roman"/>
          <w:b/>
        </w:rPr>
        <w:t>nível de conhecimento e lacunas de informação</w:t>
      </w:r>
      <w:r w:rsidRPr="00280E21">
        <w:rPr>
          <w:rFonts w:ascii="Times New Roman" w:hAnsi="Times New Roman" w:cs="Times New Roman"/>
        </w:rPr>
        <w:t>;</w:t>
      </w:r>
    </w:p>
    <w:p w14:paraId="7DBFB2A7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Atitudes predominantes</w:t>
      </w:r>
      <w:r w:rsidRPr="00280E21">
        <w:rPr>
          <w:rFonts w:ascii="Times New Roman" w:hAnsi="Times New Roman" w:cs="Times New Roman"/>
        </w:rPr>
        <w:t xml:space="preserve"> (valorização da consulta oftalmológica, higiene ocular);</w:t>
      </w:r>
    </w:p>
    <w:p w14:paraId="3E35A0E9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Práticas e barreiras</w:t>
      </w:r>
      <w:r w:rsidRPr="00280E21">
        <w:rPr>
          <w:rFonts w:ascii="Times New Roman" w:hAnsi="Times New Roman" w:cs="Times New Roman"/>
        </w:rPr>
        <w:t xml:space="preserve"> — automedicação, medicina tradicional, dificuldades financeiras e de distância;</w:t>
      </w:r>
    </w:p>
    <w:p w14:paraId="2A6AE862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Associação entre instrução e práticas de prevenção</w:t>
      </w:r>
      <w:r w:rsidRPr="00280E21">
        <w:rPr>
          <w:rFonts w:ascii="Times New Roman" w:hAnsi="Times New Roman" w:cs="Times New Roman"/>
        </w:rPr>
        <w:t>, testando as hipóteses;</w:t>
      </w:r>
    </w:p>
    <w:p w14:paraId="6261B3FE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Recomendações de intervenção educativa adaptadas ao contexto local</w:t>
      </w:r>
      <w:r w:rsidRPr="00280E21">
        <w:rPr>
          <w:rFonts w:ascii="Times New Roman" w:hAnsi="Times New Roman" w:cs="Times New Roman"/>
        </w:rPr>
        <w:t>, dirigidas a profissionais de saúde, autoridades e instituições académicas;</w:t>
      </w:r>
    </w:p>
    <w:p w14:paraId="5943008C" w14:textId="77777777" w:rsidR="00BB1E70" w:rsidRPr="00280E21" w:rsidRDefault="00000000" w:rsidP="00280E21">
      <w:pPr>
        <w:pStyle w:val="Numerada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>Reforço da base científica sobre saúde ocular rural em Moçambique.</w:t>
      </w:r>
    </w:p>
    <w:p w14:paraId="7A78DC90" w14:textId="77777777" w:rsidR="00BB1E70" w:rsidRPr="00280E21" w:rsidRDefault="00BB1E70" w:rsidP="00280E21">
      <w:pPr>
        <w:pBdr>
          <w:bottom w:val="single" w:sz="6" w:space="0" w:color="BBBBBB"/>
        </w:pBdr>
        <w:jc w:val="both"/>
        <w:rPr>
          <w:rFonts w:ascii="Times New Roman" w:hAnsi="Times New Roman" w:cs="Times New Roman"/>
        </w:rPr>
      </w:pPr>
    </w:p>
    <w:p w14:paraId="09B27B20" w14:textId="77777777" w:rsidR="00BB1E70" w:rsidRPr="00280E21" w:rsidRDefault="00000000" w:rsidP="00280E21">
      <w:pPr>
        <w:pStyle w:val="Ttulo2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 w:val="0"/>
        </w:rPr>
        <w:t>10. Para a defesa do protocolo — pontos fortes e correcções</w:t>
      </w:r>
    </w:p>
    <w:p w14:paraId="1F2A2304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b w:val="0"/>
        </w:rPr>
        <w:t>✅</w:t>
      </w:r>
      <w:r w:rsidRPr="00280E21">
        <w:rPr>
          <w:rFonts w:ascii="Times New Roman" w:hAnsi="Times New Roman" w:cs="Times New Roman"/>
          <w:b w:val="0"/>
        </w:rPr>
        <w:t xml:space="preserve"> Pontos fortes</w:t>
      </w:r>
    </w:p>
    <w:p w14:paraId="2E8E0042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Amostragem probabilística por conglomerados</w:t>
      </w:r>
      <w:r w:rsidRPr="00280E21">
        <w:rPr>
          <w:rFonts w:ascii="Times New Roman" w:hAnsi="Times New Roman" w:cs="Times New Roman"/>
        </w:rPr>
        <w:t>, com justificação explícita contra a conveniência — decisão metodológica forte e rara neste nível.</w:t>
      </w:r>
    </w:p>
    <w:p w14:paraId="18ACB97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Instrumento adaptado de três fontes validadas</w:t>
      </w:r>
      <w:r w:rsidRPr="00280E21">
        <w:rPr>
          <w:rFonts w:ascii="Times New Roman" w:hAnsi="Times New Roman" w:cs="Times New Roman"/>
        </w:rPr>
        <w:t>, não construído de raiz.</w:t>
      </w:r>
    </w:p>
    <w:p w14:paraId="3554141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KR-20 para itens dicotómicos + Cronbach para escalas</w:t>
      </w:r>
      <w:r w:rsidRPr="00280E21">
        <w:rPr>
          <w:rFonts w:ascii="Times New Roman" w:hAnsi="Times New Roman" w:cs="Times New Roman"/>
        </w:rPr>
        <w:t xml:space="preserve"> — escolha tecnicamente correcta.</w:t>
      </w:r>
    </w:p>
    <w:p w14:paraId="7593E54F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Reporte segundo o ChecKAP</w:t>
      </w:r>
      <w:r w:rsidRPr="00280E21">
        <w:rPr>
          <w:rFonts w:ascii="Times New Roman" w:hAnsi="Times New Roman" w:cs="Times New Roman"/>
        </w:rPr>
        <w:t>, checklist específica para inquéritos CAP.</w:t>
      </w:r>
    </w:p>
    <w:p w14:paraId="45D10CEC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Pontos de corte de Bloom</w:t>
      </w:r>
      <w:r w:rsidRPr="00280E21">
        <w:rPr>
          <w:rFonts w:ascii="Times New Roman" w:hAnsi="Times New Roman" w:cs="Times New Roman"/>
        </w:rPr>
        <w:t xml:space="preserve"> — critério padronizado e comparável internacionalmente.</w:t>
      </w:r>
    </w:p>
    <w:p w14:paraId="7FE99212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Entrevista em Emakhuwa</w:t>
      </w:r>
      <w:r w:rsidRPr="00280E21">
        <w:rPr>
          <w:rFonts w:ascii="Times New Roman" w:hAnsi="Times New Roman" w:cs="Times New Roman"/>
        </w:rPr>
        <w:t>, adaptada à baixa alfabetização.</w:t>
      </w:r>
    </w:p>
    <w:p w14:paraId="3E95C2A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Consentimento por impressão digital com testemunha</w:t>
      </w:r>
      <w:r w:rsidRPr="00280E21">
        <w:rPr>
          <w:rFonts w:ascii="Times New Roman" w:hAnsi="Times New Roman" w:cs="Times New Roman"/>
        </w:rPr>
        <w:t xml:space="preserve"> para participantes não alfabetizados.</w:t>
      </w:r>
    </w:p>
    <w:p w14:paraId="1259ACA2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Assentimento dos régulos</w:t>
      </w:r>
      <w:r w:rsidRPr="00280E21">
        <w:rPr>
          <w:rFonts w:ascii="Times New Roman" w:hAnsi="Times New Roman" w:cs="Times New Roman"/>
        </w:rPr>
        <w:t xml:space="preserve"> — reconhecimento da estrutura de autoridade local.</w:t>
      </w:r>
    </w:p>
    <w:p w14:paraId="15407129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Via de referenciação</w:t>
      </w:r>
      <w:r w:rsidRPr="00280E21">
        <w:rPr>
          <w:rFonts w:ascii="Times New Roman" w:hAnsi="Times New Roman" w:cs="Times New Roman"/>
        </w:rPr>
        <w:t xml:space="preserve"> que garante benefício directo ao participante.</w:t>
      </w:r>
    </w:p>
    <w:p w14:paraId="6441EF1C" w14:textId="77777777" w:rsidR="00BB1E70" w:rsidRPr="00280E21" w:rsidRDefault="00000000" w:rsidP="00280E21">
      <w:pPr>
        <w:pStyle w:val="Commarcadores"/>
        <w:spacing w:after="60"/>
        <w:ind w:left="425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Estado da arte com leitura crítica</w:t>
      </w:r>
      <w:r w:rsidRPr="00280E21">
        <w:rPr>
          <w:rFonts w:ascii="Times New Roman" w:hAnsi="Times New Roman" w:cs="Times New Roman"/>
        </w:rPr>
        <w:t>, não apenas descritiva (identifica o fosso atitudes→práticas).</w:t>
      </w:r>
    </w:p>
    <w:p w14:paraId="507EEE5F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b w:val="0"/>
        </w:rPr>
        <w:lastRenderedPageBreak/>
        <w:t>🚨</w:t>
      </w:r>
      <w:r w:rsidRPr="00280E21">
        <w:rPr>
          <w:rFonts w:ascii="Times New Roman" w:hAnsi="Times New Roman" w:cs="Times New Roman"/>
          <w:b w:val="0"/>
        </w:rPr>
        <w:t xml:space="preserve"> CORRECÇÕES OBRIGATÓRIAS</w:t>
      </w:r>
    </w:p>
    <w:p w14:paraId="308B8D40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 xml:space="preserve">1. </w:t>
      </w:r>
      <w:r w:rsidRPr="00280E21">
        <w:rPr>
          <w:rFonts w:ascii="Segoe UI Emoji" w:hAnsi="Segoe UI Emoji" w:cs="Segoe UI Emoji"/>
          <w:b/>
        </w:rPr>
        <w:t>⚠️</w:t>
      </w:r>
      <w:r w:rsidRPr="00280E21">
        <w:rPr>
          <w:rFonts w:ascii="Times New Roman" w:hAnsi="Times New Roman" w:cs="Times New Roman"/>
          <w:b/>
        </w:rPr>
        <w:t xml:space="preserve"> O CÁLCULO DO TAMANHO DA AMOSTRA ESTÁ INCOMPLETO.</w:t>
      </w:r>
    </w:p>
    <w:p w14:paraId="74B6A8D0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</w:rPr>
        <w:t xml:space="preserve">A secção 7.4 apresenta a fórmula </w:t>
      </w:r>
      <w:r w:rsidRPr="00280E21">
        <w:rPr>
          <w:rFonts w:ascii="Times New Roman" w:hAnsi="Times New Roman" w:cs="Times New Roman"/>
          <w:sz w:val="19"/>
        </w:rPr>
        <w:t>n0 = Z² × p × (1−p) / d²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Times New Roman" w:hAnsi="Times New Roman" w:cs="Times New Roman"/>
          <w:b/>
        </w:rPr>
        <w:t>e termina aí</w:t>
      </w:r>
      <w:r w:rsidRPr="00280E21">
        <w:rPr>
          <w:rFonts w:ascii="Times New Roman" w:hAnsi="Times New Roman" w:cs="Times New Roman"/>
        </w:rPr>
        <w:t xml:space="preserve"> — </w:t>
      </w:r>
      <w:r w:rsidRPr="00280E21">
        <w:rPr>
          <w:rFonts w:ascii="Times New Roman" w:hAnsi="Times New Roman" w:cs="Times New Roman"/>
          <w:b/>
        </w:rPr>
        <w:t>sem os valores de Z, p e d, sem o resultado, sem o efeito de desenho e sem a correcção para conglomerados</w:t>
      </w:r>
      <w:r w:rsidRPr="00280E21">
        <w:rPr>
          <w:rFonts w:ascii="Times New Roman" w:hAnsi="Times New Roman" w:cs="Times New Roman"/>
        </w:rPr>
        <w:t>.</w:t>
      </w:r>
    </w:p>
    <w:p w14:paraId="1E77283A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Isto é a falha mais grave do protocolo.</w:t>
      </w:r>
      <w:r w:rsidRPr="00280E21">
        <w:rPr>
          <w:rFonts w:ascii="Times New Roman" w:hAnsi="Times New Roman" w:cs="Times New Roman"/>
          <w:i/>
          <w:color w:val="444444"/>
        </w:rPr>
        <w:t xml:space="preserve"> Uma comissão científica não aprova um protocolo sem tamanho de amostra calculado. </w:t>
      </w:r>
      <w:r w:rsidRPr="00280E21">
        <w:rPr>
          <w:rFonts w:ascii="Times New Roman" w:hAnsi="Times New Roman" w:cs="Times New Roman"/>
          <w:b/>
          <w:i/>
          <w:color w:val="444444"/>
        </w:rPr>
        <w:t>É preciso:</w:t>
      </w:r>
    </w:p>
    <w:p w14:paraId="5C4F0BDD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- Explicitar </w:t>
      </w:r>
      <w:r w:rsidRPr="00280E21">
        <w:rPr>
          <w:rFonts w:ascii="Times New Roman" w:hAnsi="Times New Roman" w:cs="Times New Roman"/>
          <w:b/>
          <w:i/>
          <w:color w:val="444444"/>
        </w:rPr>
        <w:t>Z = 1,96</w:t>
      </w:r>
      <w:r w:rsidRPr="00280E21">
        <w:rPr>
          <w:rFonts w:ascii="Times New Roman" w:hAnsi="Times New Roman" w:cs="Times New Roman"/>
          <w:i/>
          <w:color w:val="444444"/>
        </w:rPr>
        <w:t xml:space="preserve">, </w:t>
      </w:r>
      <w:r w:rsidRPr="00280E21">
        <w:rPr>
          <w:rFonts w:ascii="Times New Roman" w:hAnsi="Times New Roman" w:cs="Times New Roman"/>
          <w:b/>
          <w:i/>
          <w:color w:val="444444"/>
        </w:rPr>
        <w:t>p</w:t>
      </w:r>
      <w:r w:rsidRPr="00280E21">
        <w:rPr>
          <w:rFonts w:ascii="Times New Roman" w:hAnsi="Times New Roman" w:cs="Times New Roman"/>
          <w:i/>
          <w:color w:val="444444"/>
        </w:rPr>
        <w:t xml:space="preserve"> (justificar: 0,5 se não houver dados locais, ou usar um valor da literatura, ex.: 51 % de bom conhecimento em Gebretnsae) e </w:t>
      </w:r>
      <w:r w:rsidRPr="00280E21">
        <w:rPr>
          <w:rFonts w:ascii="Times New Roman" w:hAnsi="Times New Roman" w:cs="Times New Roman"/>
          <w:b/>
          <w:i/>
          <w:color w:val="444444"/>
        </w:rPr>
        <w:t>d = 0,05</w:t>
      </w:r>
      <w:r w:rsidRPr="00280E21">
        <w:rPr>
          <w:rFonts w:ascii="Times New Roman" w:hAnsi="Times New Roman" w:cs="Times New Roman"/>
          <w:i/>
          <w:color w:val="444444"/>
        </w:rPr>
        <w:t>;</w:t>
      </w:r>
    </w:p>
    <w:p w14:paraId="5F871279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- </w:t>
      </w:r>
      <w:r w:rsidRPr="00280E21">
        <w:rPr>
          <w:rFonts w:ascii="Times New Roman" w:hAnsi="Times New Roman" w:cs="Times New Roman"/>
          <w:b/>
          <w:i/>
          <w:color w:val="444444"/>
        </w:rPr>
        <w:t>Calcular n₀</w:t>
      </w:r>
      <w:r w:rsidRPr="00280E21">
        <w:rPr>
          <w:rFonts w:ascii="Times New Roman" w:hAnsi="Times New Roman" w:cs="Times New Roman"/>
          <w:i/>
          <w:color w:val="444444"/>
        </w:rPr>
        <w:t xml:space="preserve"> (com p = 0,5 → 385);</w:t>
      </w:r>
    </w:p>
    <w:p w14:paraId="5BDC8917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- </w:t>
      </w:r>
      <w:r w:rsidRPr="00280E21">
        <w:rPr>
          <w:rFonts w:ascii="Segoe UI Emoji" w:hAnsi="Segoe UI Emoji" w:cs="Segoe UI Emoji"/>
          <w:i/>
          <w:color w:val="444444"/>
        </w:rPr>
        <w:t>⚠️</w:t>
      </w:r>
      <w:r w:rsidRPr="00280E21">
        <w:rPr>
          <w:rFonts w:ascii="Times New Roman" w:hAnsi="Times New Roman" w:cs="Times New Roman"/>
          <w:i/>
          <w:color w:val="444444"/>
        </w:rPr>
        <w:t xml:space="preserve"> </w:t>
      </w:r>
      <w:r w:rsidRPr="00280E21">
        <w:rPr>
          <w:rFonts w:ascii="Times New Roman" w:hAnsi="Times New Roman" w:cs="Times New Roman"/>
          <w:b/>
          <w:i/>
          <w:color w:val="444444"/>
        </w:rPr>
        <w:t>Aplicar o EFEITO DE DESENHO (design effect)</w:t>
      </w:r>
      <w:r w:rsidRPr="00280E21">
        <w:rPr>
          <w:rFonts w:ascii="Times New Roman" w:hAnsi="Times New Roman" w:cs="Times New Roman"/>
          <w:i/>
          <w:color w:val="444444"/>
        </w:rPr>
        <w:t xml:space="preserve"> — </w:t>
      </w:r>
      <w:r w:rsidRPr="00280E21">
        <w:rPr>
          <w:rFonts w:ascii="Times New Roman" w:hAnsi="Times New Roman" w:cs="Times New Roman"/>
          <w:b/>
          <w:i/>
          <w:color w:val="444444"/>
        </w:rPr>
        <w:t>obrigatório em amostragem por conglomerados</w:t>
      </w:r>
      <w:r w:rsidRPr="00280E21">
        <w:rPr>
          <w:rFonts w:ascii="Times New Roman" w:hAnsi="Times New Roman" w:cs="Times New Roman"/>
          <w:i/>
          <w:color w:val="444444"/>
        </w:rPr>
        <w:t xml:space="preserve">. O habitual é </w:t>
      </w:r>
      <w:r w:rsidRPr="00280E21">
        <w:rPr>
          <w:rFonts w:ascii="Times New Roman" w:hAnsi="Times New Roman" w:cs="Times New Roman"/>
          <w:b/>
          <w:i/>
          <w:color w:val="444444"/>
        </w:rPr>
        <w:t>DEFF = 1,5 a 2,0</w:t>
      </w:r>
      <w:r w:rsidRPr="00280E21">
        <w:rPr>
          <w:rFonts w:ascii="Times New Roman" w:hAnsi="Times New Roman" w:cs="Times New Roman"/>
          <w:i/>
          <w:color w:val="444444"/>
        </w:rPr>
        <w:t xml:space="preserve">, o que </w:t>
      </w:r>
      <w:r w:rsidRPr="00280E21">
        <w:rPr>
          <w:rFonts w:ascii="Times New Roman" w:hAnsi="Times New Roman" w:cs="Times New Roman"/>
          <w:b/>
          <w:i/>
          <w:color w:val="444444"/>
        </w:rPr>
        <w:t>multiplica a amostra</w:t>
      </w:r>
      <w:r w:rsidRPr="00280E21">
        <w:rPr>
          <w:rFonts w:ascii="Times New Roman" w:hAnsi="Times New Roman" w:cs="Times New Roman"/>
          <w:i/>
          <w:color w:val="444444"/>
        </w:rPr>
        <w:t xml:space="preserve"> (385 × 2 = 770);</w:t>
      </w:r>
    </w:p>
    <w:p w14:paraId="36842F17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- Acrescentar margem para </w:t>
      </w:r>
      <w:r w:rsidRPr="00280E21">
        <w:rPr>
          <w:rFonts w:ascii="Times New Roman" w:hAnsi="Times New Roman" w:cs="Times New Roman"/>
          <w:b/>
          <w:i/>
          <w:color w:val="444444"/>
        </w:rPr>
        <w:t>não respostas</w:t>
      </w:r>
      <w:r w:rsidRPr="00280E21">
        <w:rPr>
          <w:rFonts w:ascii="Times New Roman" w:hAnsi="Times New Roman" w:cs="Times New Roman"/>
          <w:i/>
          <w:color w:val="444444"/>
        </w:rPr>
        <w:t xml:space="preserve"> (10 %);</w:t>
      </w:r>
    </w:p>
    <w:p w14:paraId="080F693D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i/>
          <w:color w:val="444444"/>
        </w:rPr>
        <w:t xml:space="preserve">- Indicar </w:t>
      </w:r>
      <w:r w:rsidRPr="00280E21">
        <w:rPr>
          <w:rFonts w:ascii="Times New Roman" w:hAnsi="Times New Roman" w:cs="Times New Roman"/>
          <w:b/>
          <w:i/>
          <w:color w:val="444444"/>
        </w:rPr>
        <w:t>quantos conglomerados</w:t>
      </w:r>
      <w:r w:rsidRPr="00280E21">
        <w:rPr>
          <w:rFonts w:ascii="Times New Roman" w:hAnsi="Times New Roman" w:cs="Times New Roman"/>
          <w:i/>
          <w:color w:val="444444"/>
        </w:rPr>
        <w:t xml:space="preserve"> e </w:t>
      </w:r>
      <w:r w:rsidRPr="00280E21">
        <w:rPr>
          <w:rFonts w:ascii="Times New Roman" w:hAnsi="Times New Roman" w:cs="Times New Roman"/>
          <w:b/>
          <w:i/>
          <w:color w:val="444444"/>
        </w:rPr>
        <w:t>quantos agregados por conglomerado</w:t>
      </w:r>
      <w:r w:rsidRPr="00280E21">
        <w:rPr>
          <w:rFonts w:ascii="Times New Roman" w:hAnsi="Times New Roman" w:cs="Times New Roman"/>
          <w:i/>
          <w:color w:val="444444"/>
        </w:rPr>
        <w:t>.</w:t>
      </w:r>
    </w:p>
    <w:p w14:paraId="52450181" w14:textId="77777777" w:rsidR="00BB1E70" w:rsidRPr="00280E21" w:rsidRDefault="00BB1E7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</w:p>
    <w:p w14:paraId="3C57A27B" w14:textId="77777777" w:rsidR="00BB1E70" w:rsidRPr="00280E21" w:rsidRDefault="00000000" w:rsidP="00280E21">
      <w:pPr>
        <w:pBdr>
          <w:left w:val="single" w:sz="18" w:space="8" w:color="1F3B63"/>
        </w:pBdr>
        <w:ind w:left="340"/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  <w:i/>
          <w:color w:val="444444"/>
        </w:rPr>
        <w:t>Sem o DEFF, a amostra fica subdimensionada e os testes de associação perdem poder.</w:t>
      </w:r>
      <w:r w:rsidRPr="00280E21">
        <w:rPr>
          <w:rFonts w:ascii="Times New Roman" w:hAnsi="Times New Roman" w:cs="Times New Roman"/>
          <w:i/>
          <w:color w:val="444444"/>
        </w:rPr>
        <w:t xml:space="preserve"> É a primeira coisa que um revisor metodológico vai apontar.</w:t>
      </w:r>
    </w:p>
    <w:p w14:paraId="090122C0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2. ABSTRACT está vazio.</w:t>
      </w:r>
      <w:r w:rsidRPr="00280E21">
        <w:rPr>
          <w:rFonts w:ascii="Times New Roman" w:hAnsi="Times New Roman" w:cs="Times New Roman"/>
        </w:rPr>
        <w:t xml:space="preserve"> O RESUMO está escrito e é bom — falta traduzir.</w:t>
      </w:r>
    </w:p>
    <w:p w14:paraId="0B9EDFF8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3. Declaração do Orientador está vazia</w:t>
      </w:r>
      <w:r w:rsidRPr="00280E21">
        <w:rPr>
          <w:rFonts w:ascii="Times New Roman" w:hAnsi="Times New Roman" w:cs="Times New Roman"/>
        </w:rPr>
        <w:t xml:space="preserve"> e a folha de rosto diz apenas </w:t>
      </w:r>
      <w:r w:rsidRPr="00280E21">
        <w:rPr>
          <w:rFonts w:ascii="Times New Roman" w:hAnsi="Times New Roman" w:cs="Times New Roman"/>
          <w:b/>
        </w:rPr>
        <w:t>«Orientador: Dr.»</w:t>
      </w:r>
      <w:r w:rsidRPr="00280E21">
        <w:rPr>
          <w:rFonts w:ascii="Times New Roman" w:hAnsi="Times New Roman" w:cs="Times New Roman"/>
        </w:rPr>
        <w:t>, sem nome. O Quadro 5 (recursos humanos) também tem «Orientador» como nome.</w:t>
      </w:r>
    </w:p>
    <w:p w14:paraId="6902D3C1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4. ÍNDICE está vazio.</w:t>
      </w:r>
    </w:p>
    <w:p w14:paraId="2C8288D4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5. Verificar a coerência das datas:</w:t>
      </w:r>
      <w:r w:rsidRPr="00280E21">
        <w:rPr>
          <w:rFonts w:ascii="Times New Roman" w:hAnsi="Times New Roman" w:cs="Times New Roman"/>
        </w:rPr>
        <w:t xml:space="preserve"> título e objectivos dizem </w:t>
      </w:r>
      <w:r w:rsidRPr="00280E21">
        <w:rPr>
          <w:rFonts w:ascii="Times New Roman" w:hAnsi="Times New Roman" w:cs="Times New Roman"/>
          <w:b/>
        </w:rPr>
        <w:t>2027</w:t>
      </w:r>
      <w:r w:rsidRPr="00280E21">
        <w:rPr>
          <w:rFonts w:ascii="Times New Roman" w:hAnsi="Times New Roman" w:cs="Times New Roman"/>
        </w:rPr>
        <w:t xml:space="preserve">; o protocolo é de </w:t>
      </w:r>
      <w:r w:rsidRPr="00280E21">
        <w:rPr>
          <w:rFonts w:ascii="Times New Roman" w:hAnsi="Times New Roman" w:cs="Times New Roman"/>
          <w:b/>
        </w:rPr>
        <w:t>2026</w:t>
      </w:r>
      <w:r w:rsidRPr="00280E21">
        <w:rPr>
          <w:rFonts w:ascii="Times New Roman" w:hAnsi="Times New Roman" w:cs="Times New Roman"/>
        </w:rPr>
        <w:t xml:space="preserve">; o cronograma prevê recolha entre </w:t>
      </w:r>
      <w:r w:rsidRPr="00280E21">
        <w:rPr>
          <w:rFonts w:ascii="Times New Roman" w:hAnsi="Times New Roman" w:cs="Times New Roman"/>
          <w:b/>
        </w:rPr>
        <w:t>Abr e Set de 2027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Segoe UI Symbol" w:hAnsi="Segoe UI Symbol" w:cs="Segoe UI Symbol"/>
        </w:rPr>
        <w:t>✔</w:t>
      </w:r>
      <w:r w:rsidRPr="00280E21">
        <w:rPr>
          <w:rFonts w:ascii="Times New Roman" w:hAnsi="Times New Roman" w:cs="Times New Roman"/>
        </w:rPr>
        <w:t xml:space="preserve"> (coerente) — mas confirmar que todas as referências temporais no texto dizem 2027.</w:t>
      </w:r>
    </w:p>
    <w:p w14:paraId="26C7EE35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6. Secção 7.2 — local ainda indefinido: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Times New Roman" w:hAnsi="Times New Roman" w:cs="Times New Roman"/>
          <w:i/>
        </w:rPr>
        <w:t>«O posto administrativo e a localidade concretos, bem como a dimensão da população elegível, serão definidos com base nos dados do INE e dos serviços distritais»</w:t>
      </w:r>
      <w:r w:rsidRPr="00280E21">
        <w:rPr>
          <w:rFonts w:ascii="Times New Roman" w:hAnsi="Times New Roman" w:cs="Times New Roman"/>
        </w:rPr>
        <w:t xml:space="preserve">. </w:t>
      </w:r>
      <w:r w:rsidRPr="00280E21">
        <w:rPr>
          <w:rFonts w:ascii="Times New Roman" w:hAnsi="Times New Roman" w:cs="Times New Roman"/>
          <w:b/>
        </w:rPr>
        <w:t>É aceitável num protocolo, mas o júri vai perguntar se já há contacto estabelecido.</w:t>
      </w:r>
      <w:r w:rsidRPr="00280E21">
        <w:rPr>
          <w:rFonts w:ascii="Times New Roman" w:hAnsi="Times New Roman" w:cs="Times New Roman"/>
        </w:rPr>
        <w:t xml:space="preserve"> Ter uma resposta.</w:t>
      </w:r>
    </w:p>
    <w:p w14:paraId="5F0A1BC7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b/>
        </w:rPr>
        <w:t>7. Falta a Tabela de operacionalização das atitudes:</w:t>
      </w:r>
      <w:r w:rsidRPr="00280E21">
        <w:rPr>
          <w:rFonts w:ascii="Times New Roman" w:hAnsi="Times New Roman" w:cs="Times New Roman"/>
        </w:rPr>
        <w:t xml:space="preserve"> o Quadro 2 classifica «Atitudes» em </w:t>
      </w:r>
      <w:r w:rsidRPr="00280E21">
        <w:rPr>
          <w:rFonts w:ascii="Times New Roman" w:hAnsi="Times New Roman" w:cs="Times New Roman"/>
          <w:i/>
        </w:rPr>
        <w:t>favorável/indiferente/desfavorável</w:t>
      </w:r>
      <w:r w:rsidRPr="00280E21">
        <w:rPr>
          <w:rFonts w:ascii="Times New Roman" w:hAnsi="Times New Roman" w:cs="Times New Roman"/>
        </w:rPr>
        <w:t xml:space="preserve">, mas o texto diz que se usam os </w:t>
      </w:r>
      <w:r w:rsidRPr="00280E21">
        <w:rPr>
          <w:rFonts w:ascii="Times New Roman" w:hAnsi="Times New Roman" w:cs="Times New Roman"/>
          <w:b/>
        </w:rPr>
        <w:t>pontos de corte de Bloom</w:t>
      </w:r>
      <w:r w:rsidRPr="00280E21">
        <w:rPr>
          <w:rFonts w:ascii="Times New Roman" w:hAnsi="Times New Roman" w:cs="Times New Roman"/>
        </w:rPr>
        <w:t xml:space="preserve"> (bom/moderado/fraco). </w:t>
      </w:r>
      <w:r w:rsidRPr="00280E21">
        <w:rPr>
          <w:rFonts w:ascii="Times New Roman" w:hAnsi="Times New Roman" w:cs="Times New Roman"/>
          <w:b/>
        </w:rPr>
        <w:t>Uniformizar</w:t>
      </w:r>
      <w:r w:rsidRPr="00280E21">
        <w:rPr>
          <w:rFonts w:ascii="Times New Roman" w:hAnsi="Times New Roman" w:cs="Times New Roman"/>
        </w:rPr>
        <w:t xml:space="preserve"> — ou são três níveis de Bloom, ou é a escala tripartida; não pode ser as duas coisas.</w:t>
      </w:r>
    </w:p>
    <w:p w14:paraId="21D887CC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b w:val="0"/>
        </w:rPr>
        <w:t>⚠️</w:t>
      </w:r>
      <w:r w:rsidRPr="00280E21">
        <w:rPr>
          <w:rFonts w:ascii="Times New Roman" w:hAnsi="Times New Roman" w:cs="Times New Roman"/>
          <w:b w:val="0"/>
        </w:rPr>
        <w:t xml:space="preserve"> Perguntas prováveis da comissão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995"/>
      </w:tblGrid>
      <w:tr w:rsidR="00BB1E70" w:rsidRPr="00280E21" w14:paraId="62012588" w14:textId="77777777" w:rsidTr="009F51CA">
        <w:trPr>
          <w:jc w:val="center"/>
        </w:trPr>
        <w:tc>
          <w:tcPr>
            <w:tcW w:w="2977" w:type="dxa"/>
            <w:shd w:val="clear" w:color="auto" w:fill="1F3B63"/>
          </w:tcPr>
          <w:p w14:paraId="0ADE632C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Pergunta</w:t>
            </w:r>
            <w:proofErr w:type="spellEnd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 xml:space="preserve"> </w:t>
            </w:r>
            <w:proofErr w:type="spellStart"/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esperada</w:t>
            </w:r>
            <w:proofErr w:type="spellEnd"/>
          </w:p>
        </w:tc>
        <w:tc>
          <w:tcPr>
            <w:tcW w:w="6995" w:type="dxa"/>
            <w:shd w:val="clear" w:color="auto" w:fill="1F3B63"/>
          </w:tcPr>
          <w:p w14:paraId="108F3C1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color w:val="FFFFFF"/>
                <w:sz w:val="19"/>
              </w:rPr>
              <w:t>Resposta-chave</w:t>
            </w:r>
          </w:p>
        </w:tc>
      </w:tr>
      <w:tr w:rsidR="00BB1E70" w:rsidRPr="00280E21" w14:paraId="2F5F88AC" w14:textId="77777777" w:rsidTr="009F51CA">
        <w:trPr>
          <w:jc w:val="center"/>
        </w:trPr>
        <w:tc>
          <w:tcPr>
            <w:tcW w:w="2977" w:type="dxa"/>
          </w:tcPr>
          <w:p w14:paraId="6109B0D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«Qual é o tamanho da amostra?»</w:t>
            </w:r>
          </w:p>
        </w:tc>
        <w:tc>
          <w:tcPr>
            <w:tcW w:w="6995" w:type="dxa"/>
          </w:tcPr>
          <w:p w14:paraId="4BD116AB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Preparar antes de submeter.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Ver correcção nº 1 — com efeito de desenho.</w:t>
            </w:r>
          </w:p>
        </w:tc>
      </w:tr>
      <w:tr w:rsidR="00BB1E70" w:rsidRPr="00280E21" w14:paraId="1FFEA0A0" w14:textId="77777777" w:rsidTr="009F51CA">
        <w:trPr>
          <w:jc w:val="center"/>
        </w:trPr>
        <w:tc>
          <w:tcPr>
            <w:tcW w:w="2977" w:type="dxa"/>
            <w:shd w:val="clear" w:color="auto" w:fill="F2F5FA"/>
          </w:tcPr>
          <w:p w14:paraId="7F0AED3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«Porquê amostragem por conglomerados e não aleatória simples?»</w:t>
            </w:r>
          </w:p>
        </w:tc>
        <w:tc>
          <w:tcPr>
            <w:tcW w:w="6995" w:type="dxa"/>
            <w:shd w:val="clear" w:color="auto" w:fill="F2F5FA"/>
          </w:tcPr>
          <w:p w14:paraId="613A98A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Porque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não existe uma lista nominal completa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dos residentes da comunidade que sirva de base de sondagem, e a dispersão geográfica rural tornaria a aleatória simples logisticamente inviável. Os conglomerados (bairros/povoados) são unidades naturais com enquadramento amostral disponível via INE e serviços distritais.</w:t>
            </w:r>
          </w:p>
        </w:tc>
      </w:tr>
      <w:tr w:rsidR="00BB1E70" w:rsidRPr="00280E21" w14:paraId="6F7F01B6" w14:textId="77777777" w:rsidTr="009F51CA">
        <w:trPr>
          <w:jc w:val="center"/>
        </w:trPr>
        <w:tc>
          <w:tcPr>
            <w:tcW w:w="2977" w:type="dxa"/>
          </w:tcPr>
          <w:p w14:paraId="0664D3D3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«Como garante que o questionário mede o que diz medir em Emakhuwa?»</w:t>
            </w:r>
          </w:p>
        </w:tc>
        <w:tc>
          <w:tcPr>
            <w:tcW w:w="6995" w:type="dxa"/>
          </w:tcPr>
          <w:p w14:paraId="651EF3E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Adaptação transcultural + tradução + pré-teste + KR-20/Cronbach ≥ 0,70.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Considerar mencionar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retroversão (back-translation)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como reforço — o protocolo não a menciona explicitamente.</w:t>
            </w:r>
          </w:p>
        </w:tc>
      </w:tr>
      <w:tr w:rsidR="00BB1E70" w:rsidRPr="00280E21" w14:paraId="2181F5C2" w14:textId="77777777" w:rsidTr="009F51CA">
        <w:trPr>
          <w:jc w:val="center"/>
        </w:trPr>
        <w:tc>
          <w:tcPr>
            <w:tcW w:w="2977" w:type="dxa"/>
            <w:shd w:val="clear" w:color="auto" w:fill="F2F5FA"/>
          </w:tcPr>
          <w:p w14:paraId="7671906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lastRenderedPageBreak/>
              <w:t>«Vai medir a acuidade visual?»</w:t>
            </w:r>
          </w:p>
        </w:tc>
        <w:tc>
          <w:tcPr>
            <w:tcW w:w="6995" w:type="dxa"/>
            <w:shd w:val="clear" w:color="auto" w:fill="F2F5FA"/>
          </w:tcPr>
          <w:p w14:paraId="7DBEF31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Não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— o estudo é CAP, não epidemiológico.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Mas há via de referenciação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para quem apresentar queixas ou sinais oculares. Esta distinção deve ser clara: o estudo mede </w:t>
            </w:r>
            <w:r w:rsidRPr="00280E21">
              <w:rPr>
                <w:rFonts w:ascii="Times New Roman" w:hAnsi="Times New Roman" w:cs="Times New Roman"/>
                <w:i/>
                <w:sz w:val="19"/>
              </w:rPr>
              <w:t>o que as pessoas sabem, sentem e fazem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, não </w:t>
            </w:r>
            <w:r w:rsidRPr="00280E21">
              <w:rPr>
                <w:rFonts w:ascii="Times New Roman" w:hAnsi="Times New Roman" w:cs="Times New Roman"/>
                <w:i/>
                <w:sz w:val="19"/>
              </w:rPr>
              <w:t>quantas estão cegas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(isso já foi feito pelos RAAB de 2011 e 2018).</w:t>
            </w:r>
          </w:p>
        </w:tc>
      </w:tr>
      <w:tr w:rsidR="00BB1E70" w:rsidRPr="00280E21" w14:paraId="7FC614F4" w14:textId="77777777" w:rsidTr="009F51CA">
        <w:trPr>
          <w:jc w:val="center"/>
        </w:trPr>
        <w:tc>
          <w:tcPr>
            <w:tcW w:w="2977" w:type="dxa"/>
          </w:tcPr>
          <w:p w14:paraId="11BDD2F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«Como evita o viés de desejabilidade social nas práticas auto-reportadas?»</w:t>
            </w:r>
          </w:p>
        </w:tc>
        <w:tc>
          <w:tcPr>
            <w:tcW w:w="6995" w:type="dxa"/>
          </w:tcPr>
          <w:p w14:paraId="3A523B9F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Limitação real dos inquéritos CAP. Mitigações: entrevistadores treinados e externos à comunidade, garantia de anonimato, perguntas formuladas de forma não avaliativa.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Mencionar como limitação assumida.</w:t>
            </w:r>
          </w:p>
        </w:tc>
      </w:tr>
      <w:tr w:rsidR="00BB1E70" w:rsidRPr="00280E21" w14:paraId="15EA2601" w14:textId="77777777" w:rsidTr="009F51CA">
        <w:trPr>
          <w:jc w:val="center"/>
        </w:trPr>
        <w:tc>
          <w:tcPr>
            <w:tcW w:w="2977" w:type="dxa"/>
            <w:shd w:val="clear" w:color="auto" w:fill="F2F5FA"/>
          </w:tcPr>
          <w:p w14:paraId="6D1EDECE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«Porquê ≥ 18 anos e não ≥ 50, se a catarata afecta sobretudo os mais velhos?»</w:t>
            </w:r>
          </w:p>
        </w:tc>
        <w:tc>
          <w:tcPr>
            <w:tcW w:w="6995" w:type="dxa"/>
            <w:shd w:val="clear" w:color="auto" w:fill="F2F5FA"/>
          </w:tcPr>
          <w:p w14:paraId="545682F0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Porque o estudo mede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conhecimento, atitudes e práticas da comunidade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, incluindo as decisões de procura de cuidados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para o agregado familiar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— e são os adultos que decidem levar (ou não) os idosos e as crianças ao serviço.</w:t>
            </w:r>
          </w:p>
        </w:tc>
      </w:tr>
      <w:tr w:rsidR="00BB1E70" w:rsidRPr="00280E21" w14:paraId="2A72B3BC" w14:textId="77777777" w:rsidTr="009F51CA">
        <w:trPr>
          <w:jc w:val="center"/>
        </w:trPr>
        <w:tc>
          <w:tcPr>
            <w:tcW w:w="2977" w:type="dxa"/>
          </w:tcPr>
          <w:p w14:paraId="52C0AEA8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b/>
                <w:sz w:val="19"/>
              </w:rPr>
              <w:t>«Os 48.000 MZN de honorários de entrevistadores são justificáveis?»</w:t>
            </w:r>
          </w:p>
        </w:tc>
        <w:tc>
          <w:tcPr>
            <w:tcW w:w="6995" w:type="dxa"/>
          </w:tcPr>
          <w:p w14:paraId="44F94902" w14:textId="77777777" w:rsidR="00BB1E70" w:rsidRPr="00280E21" w:rsidRDefault="00000000" w:rsidP="00280E21">
            <w:pPr>
              <w:jc w:val="both"/>
              <w:rPr>
                <w:rFonts w:ascii="Times New Roman" w:hAnsi="Times New Roman" w:cs="Times New Roman"/>
              </w:rPr>
            </w:pPr>
            <w:r w:rsidRPr="00280E21">
              <w:rPr>
                <w:rFonts w:ascii="Times New Roman" w:hAnsi="Times New Roman" w:cs="Times New Roman"/>
                <w:sz w:val="19"/>
              </w:rPr>
              <w:t xml:space="preserve">4 entrevistadores × 12.000 MZN. </w:t>
            </w:r>
            <w:r w:rsidRPr="00280E21">
              <w:rPr>
                <w:rFonts w:ascii="Times New Roman" w:hAnsi="Times New Roman" w:cs="Times New Roman"/>
                <w:b/>
                <w:sz w:val="19"/>
              </w:rPr>
              <w:t>Ter uma justificação clara</w:t>
            </w:r>
            <w:r w:rsidRPr="00280E21">
              <w:rPr>
                <w:rFonts w:ascii="Times New Roman" w:hAnsi="Times New Roman" w:cs="Times New Roman"/>
                <w:sz w:val="19"/>
              </w:rPr>
              <w:t xml:space="preserve"> (n.º de dias no terreno, formação prévia, deslocações). É a maior rubrica do orçamento e será escrutinada.</w:t>
            </w:r>
          </w:p>
        </w:tc>
      </w:tr>
    </w:tbl>
    <w:p w14:paraId="0D65FD41" w14:textId="77777777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p w14:paraId="1CB164CE" w14:textId="77777777" w:rsidR="00BB1E70" w:rsidRPr="00280E21" w:rsidRDefault="00000000" w:rsidP="00280E21">
      <w:pPr>
        <w:pStyle w:val="Ttulo3"/>
        <w:spacing w:before="240"/>
        <w:jc w:val="both"/>
        <w:rPr>
          <w:rFonts w:ascii="Times New Roman" w:hAnsi="Times New Roman" w:cs="Times New Roman"/>
        </w:rPr>
      </w:pPr>
      <w:r w:rsidRPr="00280E21">
        <w:rPr>
          <w:rFonts w:ascii="Segoe UI Emoji" w:hAnsi="Segoe UI Emoji" w:cs="Segoe UI Emoji"/>
          <w:b w:val="0"/>
        </w:rPr>
        <w:t>🔢</w:t>
      </w:r>
      <w:r w:rsidRPr="00280E21">
        <w:rPr>
          <w:rFonts w:ascii="Times New Roman" w:hAnsi="Times New Roman" w:cs="Times New Roman"/>
          <w:b w:val="0"/>
        </w:rPr>
        <w:t xml:space="preserve"> Números para decorar</w:t>
      </w:r>
    </w:p>
    <w:p w14:paraId="5C750388" w14:textId="77777777" w:rsidR="00BB1E70" w:rsidRPr="00280E21" w:rsidRDefault="00000000" w:rsidP="00280E21">
      <w:pPr>
        <w:jc w:val="both"/>
        <w:rPr>
          <w:rFonts w:ascii="Times New Roman" w:hAnsi="Times New Roman" w:cs="Times New Roman"/>
        </w:rPr>
      </w:pPr>
      <w:r w:rsidRPr="00280E21">
        <w:rPr>
          <w:rFonts w:ascii="Times New Roman" w:hAnsi="Times New Roman" w:cs="Times New Roman"/>
          <w:sz w:val="19"/>
        </w:rPr>
        <w:t>2,2 mil milhões</w:t>
      </w:r>
      <w:r w:rsidRPr="00280E21">
        <w:rPr>
          <w:rFonts w:ascii="Times New Roman" w:hAnsi="Times New Roman" w:cs="Times New Roman"/>
        </w:rPr>
        <w:t xml:space="preserve"> com deficiência visual · </w:t>
      </w:r>
      <w:r w:rsidRPr="00280E21">
        <w:rPr>
          <w:rFonts w:ascii="Times New Roman" w:hAnsi="Times New Roman" w:cs="Times New Roman"/>
          <w:sz w:val="19"/>
        </w:rPr>
        <w:t>43,3 M</w:t>
      </w:r>
      <w:r w:rsidRPr="00280E21">
        <w:rPr>
          <w:rFonts w:ascii="Times New Roman" w:hAnsi="Times New Roman" w:cs="Times New Roman"/>
        </w:rPr>
        <w:t xml:space="preserve"> cegos (2020) · </w:t>
      </w:r>
      <w:r w:rsidRPr="00280E21">
        <w:rPr>
          <w:rFonts w:ascii="Times New Roman" w:hAnsi="Times New Roman" w:cs="Times New Roman"/>
          <w:sz w:val="19"/>
        </w:rPr>
        <w:t>+50,6 %</w:t>
      </w:r>
      <w:r w:rsidRPr="00280E21">
        <w:rPr>
          <w:rFonts w:ascii="Times New Roman" w:hAnsi="Times New Roman" w:cs="Times New Roman"/>
        </w:rPr>
        <w:t xml:space="preserve"> de cegos em absoluto (1990–2020) · </w:t>
      </w:r>
      <w:r w:rsidRPr="00280E21">
        <w:rPr>
          <w:rFonts w:ascii="Times New Roman" w:hAnsi="Times New Roman" w:cs="Times New Roman"/>
          <w:sz w:val="19"/>
        </w:rPr>
        <w:t>61 M</w:t>
      </w:r>
      <w:r w:rsidRPr="00280E21">
        <w:rPr>
          <w:rFonts w:ascii="Times New Roman" w:hAnsi="Times New Roman" w:cs="Times New Roman"/>
        </w:rPr>
        <w:t xml:space="preserve"> cegos em 2050 · </w:t>
      </w:r>
      <w:r w:rsidRPr="00280E21">
        <w:rPr>
          <w:rFonts w:ascii="Times New Roman" w:hAnsi="Times New Roman" w:cs="Times New Roman"/>
          <w:sz w:val="19"/>
        </w:rPr>
        <w:t>~90 %</w:t>
      </w:r>
      <w:r w:rsidRPr="00280E21">
        <w:rPr>
          <w:rFonts w:ascii="Times New Roman" w:hAnsi="Times New Roman" w:cs="Times New Roman"/>
        </w:rPr>
        <w:t xml:space="preserve"> evitável · </w:t>
      </w:r>
      <w:r w:rsidRPr="00280E21">
        <w:rPr>
          <w:rFonts w:ascii="Times New Roman" w:hAnsi="Times New Roman" w:cs="Times New Roman"/>
          <w:sz w:val="19"/>
        </w:rPr>
        <w:t>411 mil milhões USD</w:t>
      </w:r>
      <w:r w:rsidRPr="00280E21">
        <w:rPr>
          <w:rFonts w:ascii="Times New Roman" w:hAnsi="Times New Roman" w:cs="Times New Roman"/>
        </w:rPr>
        <w:t xml:space="preserve"> de produtividade perdida · </w:t>
      </w:r>
      <w:r w:rsidRPr="00280E21">
        <w:rPr>
          <w:rFonts w:ascii="Times New Roman" w:hAnsi="Times New Roman" w:cs="Times New Roman"/>
          <w:sz w:val="19"/>
        </w:rPr>
        <w:t>45 %</w:t>
      </w:r>
      <w:r w:rsidRPr="00280E21">
        <w:rPr>
          <w:rFonts w:ascii="Times New Roman" w:hAnsi="Times New Roman" w:cs="Times New Roman"/>
        </w:rPr>
        <w:t xml:space="preserve"> da cegueira ≥50 anos é catarata · </w:t>
      </w:r>
      <w:r w:rsidRPr="00280E21">
        <w:rPr>
          <w:rFonts w:ascii="Times New Roman" w:hAnsi="Times New Roman" w:cs="Times New Roman"/>
          <w:sz w:val="19"/>
        </w:rPr>
        <w:t>10 %</w:t>
      </w:r>
      <w:r w:rsidRPr="00280E21">
        <w:rPr>
          <w:rFonts w:ascii="Times New Roman" w:hAnsi="Times New Roman" w:cs="Times New Roman"/>
        </w:rPr>
        <w:t xml:space="preserve"> prevalência agregada na África subsariana · </w:t>
      </w:r>
      <w:r w:rsidRPr="00280E21">
        <w:rPr>
          <w:rFonts w:ascii="Times New Roman" w:hAnsi="Times New Roman" w:cs="Times New Roman"/>
          <w:sz w:val="19"/>
        </w:rPr>
        <w:t>46 %</w:t>
      </w:r>
      <w:r w:rsidRPr="00280E21">
        <w:rPr>
          <w:rFonts w:ascii="Times New Roman" w:hAnsi="Times New Roman" w:cs="Times New Roman"/>
        </w:rPr>
        <w:t xml:space="preserve"> catarata / </w:t>
      </w:r>
      <w:r w:rsidRPr="00280E21">
        <w:rPr>
          <w:rFonts w:ascii="Times New Roman" w:hAnsi="Times New Roman" w:cs="Times New Roman"/>
          <w:sz w:val="19"/>
        </w:rPr>
        <w:t>14 %</w:t>
      </w:r>
      <w:r w:rsidRPr="00280E21">
        <w:rPr>
          <w:rFonts w:ascii="Times New Roman" w:hAnsi="Times New Roman" w:cs="Times New Roman"/>
        </w:rPr>
        <w:t xml:space="preserve"> glaucoma · </w:t>
      </w:r>
      <w:r w:rsidRPr="00280E21">
        <w:rPr>
          <w:rFonts w:ascii="Times New Roman" w:hAnsi="Times New Roman" w:cs="Times New Roman"/>
          <w:b/>
        </w:rPr>
        <w:t>Nampula:</w:t>
      </w:r>
      <w:r w:rsidRPr="00280E21">
        <w:rPr>
          <w:rFonts w:ascii="Times New Roman" w:hAnsi="Times New Roman" w:cs="Times New Roman"/>
        </w:rPr>
        <w:t xml:space="preserve"> </w:t>
      </w:r>
      <w:r w:rsidRPr="00280E21">
        <w:rPr>
          <w:rFonts w:ascii="Times New Roman" w:hAnsi="Times New Roman" w:cs="Times New Roman"/>
          <w:sz w:val="19"/>
        </w:rPr>
        <w:t>6,2 % → 4,5 %</w:t>
      </w:r>
      <w:r w:rsidRPr="00280E21">
        <w:rPr>
          <w:rFonts w:ascii="Times New Roman" w:hAnsi="Times New Roman" w:cs="Times New Roman"/>
        </w:rPr>
        <w:t xml:space="preserve"> (2011→2018) · </w:t>
      </w:r>
      <w:r w:rsidRPr="00280E21">
        <w:rPr>
          <w:rFonts w:ascii="Times New Roman" w:hAnsi="Times New Roman" w:cs="Times New Roman"/>
          <w:sz w:val="19"/>
        </w:rPr>
        <w:t>40,0 %</w:t>
      </w:r>
      <w:r w:rsidRPr="00280E21">
        <w:rPr>
          <w:rFonts w:ascii="Times New Roman" w:hAnsi="Times New Roman" w:cs="Times New Roman"/>
        </w:rPr>
        <w:t xml:space="preserve"> vs </w:t>
      </w:r>
      <w:r w:rsidRPr="00280E21">
        <w:rPr>
          <w:rFonts w:ascii="Times New Roman" w:hAnsi="Times New Roman" w:cs="Times New Roman"/>
          <w:sz w:val="19"/>
        </w:rPr>
        <w:t>19,4 %</w:t>
      </w:r>
      <w:r w:rsidRPr="00280E21">
        <w:rPr>
          <w:rFonts w:ascii="Times New Roman" w:hAnsi="Times New Roman" w:cs="Times New Roman"/>
        </w:rPr>
        <w:t xml:space="preserve"> cobertura cirúrgica H/M · </w:t>
      </w:r>
      <w:r w:rsidRPr="00280E21">
        <w:rPr>
          <w:rFonts w:ascii="Times New Roman" w:hAnsi="Times New Roman" w:cs="Times New Roman"/>
          <w:sz w:val="19"/>
        </w:rPr>
        <w:t>4 / 8 / 46</w:t>
      </w:r>
      <w:r w:rsidRPr="00280E21">
        <w:rPr>
          <w:rFonts w:ascii="Times New Roman" w:hAnsi="Times New Roman" w:cs="Times New Roman"/>
        </w:rPr>
        <w:t xml:space="preserve"> oftalmologistas/optometristas/técnicos · </w:t>
      </w:r>
      <w:r w:rsidRPr="00280E21">
        <w:rPr>
          <w:rFonts w:ascii="Times New Roman" w:hAnsi="Times New Roman" w:cs="Times New Roman"/>
          <w:sz w:val="19"/>
        </w:rPr>
        <w:t>49,4 %</w:t>
      </w:r>
      <w:r w:rsidRPr="00280E21">
        <w:rPr>
          <w:rFonts w:ascii="Times New Roman" w:hAnsi="Times New Roman" w:cs="Times New Roman"/>
        </w:rPr>
        <w:t xml:space="preserve"> sintomas oculares · </w:t>
      </w:r>
      <w:r w:rsidRPr="00280E21">
        <w:rPr>
          <w:rFonts w:ascii="Times New Roman" w:hAnsi="Times New Roman" w:cs="Times New Roman"/>
          <w:sz w:val="19"/>
        </w:rPr>
        <w:t>20,4 %</w:t>
      </w:r>
      <w:r w:rsidRPr="00280E21">
        <w:rPr>
          <w:rFonts w:ascii="Times New Roman" w:hAnsi="Times New Roman" w:cs="Times New Roman"/>
        </w:rPr>
        <w:t xml:space="preserve"> automedicação · </w:t>
      </w:r>
      <w:r w:rsidRPr="00280E21">
        <w:rPr>
          <w:rFonts w:ascii="Times New Roman" w:hAnsi="Times New Roman" w:cs="Times New Roman"/>
          <w:sz w:val="19"/>
        </w:rPr>
        <w:t>53 %</w:t>
      </w:r>
      <w:r w:rsidRPr="00280E21">
        <w:rPr>
          <w:rFonts w:ascii="Times New Roman" w:hAnsi="Times New Roman" w:cs="Times New Roman"/>
        </w:rPr>
        <w:t xml:space="preserve"> custo como barreira · </w:t>
      </w:r>
      <w:r w:rsidRPr="00280E21">
        <w:rPr>
          <w:rFonts w:ascii="Times New Roman" w:hAnsi="Times New Roman" w:cs="Times New Roman"/>
          <w:sz w:val="19"/>
        </w:rPr>
        <w:t>OR 4,92</w:t>
      </w:r>
      <w:r w:rsidRPr="00280E21">
        <w:rPr>
          <w:rFonts w:ascii="Times New Roman" w:hAnsi="Times New Roman" w:cs="Times New Roman"/>
        </w:rPr>
        <w:t xml:space="preserve"> conhecimento→cirurgia · </w:t>
      </w:r>
      <w:r w:rsidRPr="00280E21">
        <w:rPr>
          <w:rFonts w:ascii="Times New Roman" w:hAnsi="Times New Roman" w:cs="Times New Roman"/>
          <w:sz w:val="19"/>
        </w:rPr>
        <w:t>≥80/60–79/&lt;60 %</w:t>
      </w:r>
      <w:r w:rsidRPr="00280E21">
        <w:rPr>
          <w:rFonts w:ascii="Times New Roman" w:hAnsi="Times New Roman" w:cs="Times New Roman"/>
        </w:rPr>
        <w:t xml:space="preserve"> Bloom · </w:t>
      </w:r>
      <w:r w:rsidRPr="00280E21">
        <w:rPr>
          <w:rFonts w:ascii="Times New Roman" w:hAnsi="Times New Roman" w:cs="Times New Roman"/>
          <w:sz w:val="19"/>
        </w:rPr>
        <w:t>≥0,70</w:t>
      </w:r>
      <w:r w:rsidRPr="00280E21">
        <w:rPr>
          <w:rFonts w:ascii="Times New Roman" w:hAnsi="Times New Roman" w:cs="Times New Roman"/>
        </w:rPr>
        <w:t xml:space="preserve"> KR-20 e Cronbach · </w:t>
      </w:r>
      <w:r w:rsidRPr="00280E21">
        <w:rPr>
          <w:rFonts w:ascii="Times New Roman" w:hAnsi="Times New Roman" w:cs="Times New Roman"/>
          <w:sz w:val="19"/>
        </w:rPr>
        <w:t>+40 pp</w:t>
      </w:r>
      <w:r w:rsidRPr="00280E21">
        <w:rPr>
          <w:rFonts w:ascii="Times New Roman" w:hAnsi="Times New Roman" w:cs="Times New Roman"/>
        </w:rPr>
        <w:t xml:space="preserve"> e </w:t>
      </w:r>
      <w:r w:rsidRPr="00280E21">
        <w:rPr>
          <w:rFonts w:ascii="Times New Roman" w:hAnsi="Times New Roman" w:cs="Times New Roman"/>
          <w:sz w:val="19"/>
        </w:rPr>
        <w:t>+30 pp</w:t>
      </w:r>
      <w:r w:rsidRPr="00280E21">
        <w:rPr>
          <w:rFonts w:ascii="Times New Roman" w:hAnsi="Times New Roman" w:cs="Times New Roman"/>
        </w:rPr>
        <w:t xml:space="preserve"> metas 2030 · </w:t>
      </w:r>
      <w:r w:rsidRPr="00280E21">
        <w:rPr>
          <w:rFonts w:ascii="Times New Roman" w:hAnsi="Times New Roman" w:cs="Times New Roman"/>
          <w:sz w:val="19"/>
        </w:rPr>
        <w:t>125.000</w:t>
      </w:r>
      <w:r w:rsidRPr="00280E21">
        <w:rPr>
          <w:rFonts w:ascii="Times New Roman" w:hAnsi="Times New Roman" w:cs="Times New Roman"/>
        </w:rPr>
        <w:t xml:space="preserve"> MZN</w:t>
      </w:r>
    </w:p>
    <w:p w14:paraId="209BC30C" w14:textId="21046DD9" w:rsidR="00BB1E70" w:rsidRPr="00280E21" w:rsidRDefault="00BB1E70" w:rsidP="00280E21">
      <w:pPr>
        <w:jc w:val="both"/>
        <w:rPr>
          <w:rFonts w:ascii="Times New Roman" w:hAnsi="Times New Roman" w:cs="Times New Roman"/>
        </w:rPr>
      </w:pPr>
    </w:p>
    <w:sectPr w:rsidR="00BB1E70" w:rsidRPr="00280E2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28758">
    <w:abstractNumId w:val="8"/>
  </w:num>
  <w:num w:numId="2" w16cid:durableId="728646878">
    <w:abstractNumId w:val="6"/>
  </w:num>
  <w:num w:numId="3" w16cid:durableId="543760281">
    <w:abstractNumId w:val="5"/>
  </w:num>
  <w:num w:numId="4" w16cid:durableId="251665424">
    <w:abstractNumId w:val="4"/>
  </w:num>
  <w:num w:numId="5" w16cid:durableId="1810201946">
    <w:abstractNumId w:val="7"/>
  </w:num>
  <w:num w:numId="6" w16cid:durableId="449516618">
    <w:abstractNumId w:val="3"/>
  </w:num>
  <w:num w:numId="7" w16cid:durableId="419567595">
    <w:abstractNumId w:val="2"/>
  </w:num>
  <w:num w:numId="8" w16cid:durableId="1755395184">
    <w:abstractNumId w:val="1"/>
  </w:num>
  <w:num w:numId="9" w16cid:durableId="205469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E21"/>
    <w:rsid w:val="0029639D"/>
    <w:rsid w:val="00326F90"/>
    <w:rsid w:val="009F51CA"/>
    <w:rsid w:val="00A62153"/>
    <w:rsid w:val="00AA1D8D"/>
    <w:rsid w:val="00B47730"/>
    <w:rsid w:val="00BB1E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B424D"/>
  <w14:defaultImageDpi w14:val="300"/>
  <w15:docId w15:val="{DBD5D690-A608-44C8-A401-491AA595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63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3151</Words>
  <Characters>17021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Daudo</cp:lastModifiedBy>
  <cp:revision>3</cp:revision>
  <dcterms:created xsi:type="dcterms:W3CDTF">2013-12-23T23:15:00Z</dcterms:created>
  <dcterms:modified xsi:type="dcterms:W3CDTF">2026-07-27T18:46:00Z</dcterms:modified>
  <cp:category/>
</cp:coreProperties>
</file>