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0" w:before="0"/>
        <w:jc w:val="center"/>
      </w:pPr>
      <w:r>
        <w:rPr>
          <w:rFonts w:ascii="Times New Roman" w:hAnsi="Times New Roman" w:cs="Times New Roman" w:eastAsia="Times New Roman"/>
          <w:b/>
          <w:i w:val="0"/>
          <w:color w:val="000000"/>
          <w:sz w:val="28"/>
        </w:rPr>
        <w:t>UNIVERSIDADE LÚRIO</w:t>
      </w:r>
    </w:p>
    <w:p>
      <w:pPr>
        <w:spacing w:line="360" w:lineRule="auto" w:after="40" w:before="0"/>
        <w:jc w:val="center"/>
      </w:pPr>
      <w:r>
        <w:rPr>
          <w:rFonts w:ascii="Times New Roman" w:hAnsi="Times New Roman" w:cs="Times New Roman" w:eastAsia="Times New Roman"/>
          <w:b/>
          <w:i w:val="0"/>
          <w:color w:val="000000"/>
          <w:sz w:val="26"/>
        </w:rPr>
        <w:t>FACULDADE DE CIÊNCIAS DE SAÚDE</w:t>
      </w:r>
    </w:p>
    <w:p>
      <w:pPr>
        <w:spacing w:line="360" w:lineRule="auto" w:after="40" w:before="0"/>
        <w:jc w:val="center"/>
      </w:pPr>
      <w:r>
        <w:rPr>
          <w:rFonts w:ascii="Times New Roman" w:hAnsi="Times New Roman" w:cs="Times New Roman" w:eastAsia="Times New Roman"/>
          <w:b/>
          <w:i w:val="0"/>
          <w:color w:val="000000"/>
          <w:sz w:val="26"/>
        </w:rPr>
        <w:t>CURSO DE PSICOLOGIA</w:t>
      </w:r>
    </w:p>
    <w:p>
      <w:pPr>
        <w:spacing w:line="360" w:lineRule="auto" w:after="960" w:before="0"/>
        <w:jc w:val="center"/>
      </w:pPr>
      <w:r>
        <w:rPr>
          <w:rFonts w:ascii="Times New Roman" w:hAnsi="Times New Roman" w:cs="Times New Roman" w:eastAsia="Times New Roman"/>
          <w:b w:val="0"/>
          <w:i w:val="0"/>
          <w:color w:val="000000"/>
          <w:sz w:val="24"/>
        </w:rPr>
      </w:r>
    </w:p>
    <w:p>
      <w:pPr>
        <w:spacing w:line="360" w:lineRule="auto" w:after="480" w:before="0"/>
        <w:jc w:val="center"/>
      </w:pPr>
      <w:r>
        <w:rPr>
          <w:rFonts w:ascii="Times New Roman" w:hAnsi="Times New Roman" w:cs="Times New Roman" w:eastAsia="Times New Roman"/>
          <w:b w:val="0"/>
          <w:i w:val="0"/>
          <w:color w:val="000000"/>
          <w:sz w:val="26"/>
        </w:rPr>
        <w:t>Protocolo de Investigação</w:t>
      </w:r>
    </w:p>
    <w:p>
      <w:pPr>
        <w:spacing w:line="360" w:lineRule="auto" w:after="1200" w:before="0"/>
        <w:jc w:val="center"/>
      </w:pPr>
      <w:r>
        <w:rPr>
          <w:rFonts w:ascii="Times New Roman" w:hAnsi="Times New Roman" w:cs="Times New Roman" w:eastAsia="Times New Roman"/>
          <w:b/>
          <w:i w:val="0"/>
          <w:color w:val="000000"/>
          <w:sz w:val="28"/>
        </w:rPr>
        <w:t>FACTORES PSICOSSOCIAIS RELACIONADOS AO COMPORTAMENTO AGRESSIVO EM ADOLESCENTES DOS 10 AOS 19 ANOS: CASO DA ESCOLA SECUNDÁRIA DE MUATALA, CIDADE DE NAMPULA, SEGUNDO SEMESTRE DE 2026</w:t>
      </w:r>
    </w:p>
    <w:p>
      <w:pPr>
        <w:spacing w:line="360" w:lineRule="auto" w:after="40" w:before="0"/>
        <w:jc w:val="center"/>
      </w:pPr>
      <w:r>
        <w:rPr>
          <w:rFonts w:ascii="Times New Roman" w:hAnsi="Times New Roman" w:cs="Times New Roman" w:eastAsia="Times New Roman"/>
          <w:b w:val="0"/>
          <w:i w:val="0"/>
          <w:color w:val="000000"/>
          <w:sz w:val="24"/>
        </w:rPr>
        <w:t>_____________________________________________</w:t>
      </w:r>
    </w:p>
    <w:p>
      <w:pPr>
        <w:spacing w:line="360" w:lineRule="auto" w:after="1440" w:before="0"/>
        <w:jc w:val="center"/>
      </w:pPr>
      <w:r>
        <w:rPr>
          <w:rFonts w:ascii="Times New Roman" w:hAnsi="Times New Roman" w:cs="Times New Roman" w:eastAsia="Times New Roman"/>
          <w:b w:val="0"/>
          <w:i w:val="0"/>
          <w:color w:val="000000"/>
          <w:sz w:val="22"/>
        </w:rPr>
        <w:t>(nome completo do estudante)</w:t>
      </w:r>
    </w:p>
    <w:p>
      <w:pPr>
        <w:spacing w:line="360" w:lineRule="auto" w:after="40" w:before="0"/>
        <w:jc w:val="center"/>
      </w:pPr>
      <w:r>
        <w:rPr>
          <w:rFonts w:ascii="Times New Roman" w:hAnsi="Times New Roman" w:cs="Times New Roman" w:eastAsia="Times New Roman"/>
          <w:b w:val="0"/>
          <w:i w:val="0"/>
          <w:color w:val="000000"/>
          <w:sz w:val="24"/>
        </w:rPr>
        <w:t>Nampula</w:t>
      </w:r>
    </w:p>
    <w:p>
      <w:pPr>
        <w:spacing w:line="360" w:lineRule="auto" w:after="0" w:before="0"/>
        <w:jc w:val="center"/>
      </w:pPr>
      <w:r>
        <w:rPr>
          <w:rFonts w:ascii="Times New Roman" w:hAnsi="Times New Roman" w:cs="Times New Roman" w:eastAsia="Times New Roman"/>
          <w:b w:val="0"/>
          <w:i w:val="0"/>
          <w:color w:val="000000"/>
          <w:sz w:val="24"/>
        </w:rPr>
        <w:t>2026</w:t>
      </w:r>
    </w:p>
    <w:p>
      <w:pPr>
        <w:spacing w:line="240" w:lineRule="auto" w:after="0" w:before="0"/>
        <w:jc w:val="left"/>
      </w:pPr>
      <w:r>
        <w:br w:type="page"/>
      </w:r>
    </w:p>
    <w:p>
      <w:pPr>
        <w:spacing w:line="360" w:lineRule="auto" w:after="40" w:before="0"/>
        <w:jc w:val="center"/>
      </w:pPr>
      <w:r>
        <w:rPr>
          <w:rFonts w:ascii="Times New Roman" w:hAnsi="Times New Roman" w:cs="Times New Roman" w:eastAsia="Times New Roman"/>
          <w:b w:val="0"/>
          <w:i w:val="0"/>
          <w:color w:val="000000"/>
          <w:sz w:val="24"/>
        </w:rPr>
        <w:t>_____________________________________________</w:t>
      </w:r>
    </w:p>
    <w:p>
      <w:pPr>
        <w:spacing w:line="360" w:lineRule="auto" w:after="1200" w:before="0"/>
        <w:jc w:val="center"/>
      </w:pPr>
      <w:r>
        <w:rPr>
          <w:rFonts w:ascii="Times New Roman" w:hAnsi="Times New Roman" w:cs="Times New Roman" w:eastAsia="Times New Roman"/>
          <w:b w:val="0"/>
          <w:i w:val="0"/>
          <w:color w:val="000000"/>
          <w:sz w:val="22"/>
        </w:rPr>
        <w:t>(nome completo do estudante)</w:t>
      </w:r>
    </w:p>
    <w:p>
      <w:pPr>
        <w:spacing w:line="360" w:lineRule="auto" w:after="960" w:before="0"/>
        <w:jc w:val="center"/>
      </w:pPr>
      <w:r>
        <w:rPr>
          <w:rFonts w:ascii="Times New Roman" w:hAnsi="Times New Roman" w:cs="Times New Roman" w:eastAsia="Times New Roman"/>
          <w:b/>
          <w:i w:val="0"/>
          <w:color w:val="000000"/>
          <w:sz w:val="26"/>
        </w:rPr>
        <w:t>FACTORES PSICOSSOCIAIS RELACIONADOS AO COMPORTAMENTO AGRESSIVO EM ADOLESCENTES DOS 10 AOS 19 ANOS: CASO DA ESCOLA SECUNDÁRIA DE MUATALA, CIDADE DE NAMPULA, SEGUNDO SEMESTRE DE 2026</w:t>
      </w:r>
    </w:p>
    <w:p>
      <w:pPr>
        <w:spacing w:line="240" w:lineRule="auto" w:after="720" w:before="0"/>
        <w:ind w:left="4535"/>
        <w:jc w:val="both"/>
      </w:pPr>
      <w:r>
        <w:rPr>
          <w:rFonts w:ascii="Times New Roman" w:hAnsi="Times New Roman" w:cs="Times New Roman" w:eastAsia="Times New Roman"/>
          <w:b w:val="0"/>
          <w:i w:val="0"/>
          <w:color w:val="000000"/>
          <w:sz w:val="22"/>
        </w:rPr>
        <w:t>Protocolo de investigação apresentado à Faculdade de Ciências de Saúde da Universidade Lúrio, como parte dos requisitos para a elaboração do Trabalho de Conclusão de Curso conducente à obtenção do grau de licenciado em Psicologia.</w:t>
      </w:r>
    </w:p>
    <w:p>
      <w:pPr>
        <w:spacing w:line="360" w:lineRule="auto" w:after="120" w:before="0"/>
        <w:jc w:val="left"/>
      </w:pPr>
      <w:r>
        <w:rPr>
          <w:rFonts w:ascii="Times New Roman" w:hAnsi="Times New Roman" w:cs="Times New Roman" w:eastAsia="Times New Roman"/>
          <w:b w:val="0"/>
          <w:i w:val="0"/>
          <w:color w:val="000000"/>
          <w:sz w:val="24"/>
        </w:rPr>
        <w:t>Orientador: ______________________________</w:t>
      </w:r>
    </w:p>
    <w:p>
      <w:pPr>
        <w:spacing w:line="360" w:lineRule="auto" w:after="960" w:before="0"/>
        <w:jc w:val="left"/>
      </w:pPr>
      <w:r>
        <w:rPr>
          <w:rFonts w:ascii="Times New Roman" w:hAnsi="Times New Roman" w:cs="Times New Roman" w:eastAsia="Times New Roman"/>
          <w:b w:val="0"/>
          <w:i w:val="0"/>
          <w:color w:val="000000"/>
          <w:sz w:val="24"/>
        </w:rPr>
        <w:t>Co-orientador: ___________________________</w:t>
      </w:r>
    </w:p>
    <w:p>
      <w:pPr>
        <w:spacing w:line="360" w:lineRule="auto" w:after="40" w:before="0"/>
        <w:jc w:val="center"/>
      </w:pPr>
      <w:r>
        <w:rPr>
          <w:rFonts w:ascii="Times New Roman" w:hAnsi="Times New Roman" w:cs="Times New Roman" w:eastAsia="Times New Roman"/>
          <w:b w:val="0"/>
          <w:i w:val="0"/>
          <w:color w:val="000000"/>
          <w:sz w:val="24"/>
        </w:rPr>
        <w:t>Nampula</w:t>
      </w:r>
    </w:p>
    <w:p>
      <w:pPr>
        <w:spacing w:line="360" w:lineRule="auto" w:after="0" w:before="0"/>
        <w:jc w:val="center"/>
      </w:pPr>
      <w:r>
        <w:rPr>
          <w:rFonts w:ascii="Times New Roman" w:hAnsi="Times New Roman" w:cs="Times New Roman" w:eastAsia="Times New Roman"/>
          <w:b w:val="0"/>
          <w:i w:val="0"/>
          <w:color w:val="000000"/>
          <w:sz w:val="24"/>
        </w:rPr>
        <w:t>2026</w:t>
      </w:r>
    </w:p>
    <w:p>
      <w:pPr>
        <w:spacing w:line="240" w:lineRule="auto" w:after="0" w:before="0"/>
        <w:jc w:val="left"/>
      </w:pPr>
      <w:r>
        <w:br w:type="page"/>
      </w:r>
    </w:p>
    <w:p>
      <w:pPr>
        <w:pStyle w:val="Heading1"/>
        <w:spacing w:line="360" w:lineRule="auto" w:after="120" w:before="240"/>
        <w:jc w:val="left"/>
      </w:pPr>
      <w:r>
        <w:rPr>
          <w:rFonts w:ascii="Times New Roman" w:hAnsi="Times New Roman" w:cs="Times New Roman" w:eastAsia="Times New Roman"/>
          <w:b/>
          <w:i w:val="0"/>
          <w:color w:val="000000"/>
          <w:sz w:val="26"/>
        </w:rPr>
        <w:t>DECLARAÇÃO DO ORIENTADOR</w:t>
      </w:r>
    </w:p>
    <w:p>
      <w:pPr>
        <w:spacing w:line="360" w:lineRule="auto" w:after="120" w:before="0"/>
        <w:jc w:val="both"/>
      </w:pPr>
      <w:r>
        <w:rPr>
          <w:rFonts w:ascii="Times New Roman" w:hAnsi="Times New Roman" w:cs="Times New Roman" w:eastAsia="Times New Roman"/>
          <w:b w:val="0"/>
          <w:i w:val="0"/>
          <w:color w:val="000000"/>
          <w:sz w:val="24"/>
        </w:rPr>
        <w:t>Declaro que o presente protocolo de investigação, intitulado «Factores psicossociais relacionados ao comportamento agressivo em adolescentes dos 10 aos 19 anos: caso da Escola Secundária de Muatala, cidade de Nampula, segundo semestre de 2026», foi elaborado sob a minha orientação e reúne as condições científicas e metodológicas exigidas para ser submetido à apreciação do Conselho Científico da Faculdade de Ciências de Saúde da Universidade Lúrio e do respectivo comité de bioética.</w:t>
      </w:r>
    </w:p>
    <w:p>
      <w:pPr>
        <w:spacing w:line="360" w:lineRule="auto" w:after="600" w:before="0"/>
        <w:jc w:val="both"/>
      </w:pPr>
      <w:r>
        <w:rPr>
          <w:rFonts w:ascii="Times New Roman" w:hAnsi="Times New Roman" w:cs="Times New Roman" w:eastAsia="Times New Roman"/>
          <w:b w:val="0"/>
          <w:i w:val="0"/>
          <w:color w:val="000000"/>
          <w:sz w:val="24"/>
        </w:rPr>
      </w:r>
    </w:p>
    <w:p>
      <w:pPr>
        <w:spacing w:line="360" w:lineRule="auto" w:after="600" w:before="0"/>
        <w:jc w:val="left"/>
      </w:pPr>
      <w:r>
        <w:rPr>
          <w:rFonts w:ascii="Times New Roman" w:hAnsi="Times New Roman" w:cs="Times New Roman" w:eastAsia="Times New Roman"/>
          <w:b w:val="0"/>
          <w:i w:val="0"/>
          <w:color w:val="000000"/>
          <w:sz w:val="24"/>
        </w:rPr>
        <w:t>Nampula, ____ de ______________ de 2026</w:t>
      </w:r>
    </w:p>
    <w:p>
      <w:pPr>
        <w:spacing w:line="360" w:lineRule="auto" w:after="120" w:before="0"/>
        <w:jc w:val="left"/>
      </w:pPr>
      <w:r>
        <w:rPr>
          <w:rFonts w:ascii="Times New Roman" w:hAnsi="Times New Roman" w:cs="Times New Roman" w:eastAsia="Times New Roman"/>
          <w:b w:val="0"/>
          <w:i w:val="0"/>
          <w:color w:val="000000"/>
          <w:sz w:val="24"/>
        </w:rPr>
        <w:t>O orientador: ______________________________________</w:t>
      </w:r>
    </w:p>
    <w:p>
      <w:pPr>
        <w:spacing w:line="240" w:lineRule="auto" w:after="0" w:before="0"/>
        <w:jc w:val="left"/>
      </w:pPr>
      <w:r>
        <w:br w:type="page"/>
      </w:r>
    </w:p>
    <w:p>
      <w:pPr>
        <w:pStyle w:val="Heading1"/>
        <w:spacing w:line="360" w:lineRule="auto" w:after="120" w:before="240"/>
        <w:jc w:val="left"/>
      </w:pPr>
      <w:r>
        <w:rPr>
          <w:rFonts w:ascii="Times New Roman" w:hAnsi="Times New Roman" w:cs="Times New Roman" w:eastAsia="Times New Roman"/>
          <w:b/>
          <w:i w:val="0"/>
          <w:color w:val="000000"/>
          <w:sz w:val="26"/>
        </w:rPr>
        <w:t>RESUMO</w:t>
      </w:r>
    </w:p>
    <w:p>
      <w:pPr>
        <w:spacing w:line="360" w:lineRule="auto" w:after="120" w:before="0"/>
        <w:jc w:val="both"/>
      </w:pPr>
      <w:r>
        <w:rPr>
          <w:rFonts w:ascii="Times New Roman" w:hAnsi="Times New Roman" w:cs="Times New Roman" w:eastAsia="Times New Roman"/>
          <w:b w:val="0"/>
          <w:i w:val="0"/>
          <w:color w:val="000000"/>
          <w:sz w:val="24"/>
        </w:rPr>
        <w:t>Introdução: o comportamento agressivo na adolescência é um problema de saúde pública e de saúde mental com consequências duradouras para quem agride, para quem é vitimado e para a escola. Nos países de baixo e médio rendimento, mais de um terço dos adolescentes escolarizados relata envolvimento em lutas físicas e, na África subsariana, mais de metade refere alguma forma de violência interpessoal. Em Moçambique, os dados nacionais mostram uma exposição precoce e generalizada à violência, mas não existem estudos locais que relacionem os factores psicossociais com a agressividade dos adolescentes escolarizados na cidade de Nampula. Objectivo: analisar os factores psicossociais relacionados ao comportamento agressivo em adolescentes dos 10 aos 19 anos da Escola Secundária de Muatala, no segundo semestre de 2026. Metodologia: estudo de corte transversal, analítico, de abordagem quantitativa, com amostragem probabilística estratificada por classe e selecção aleatória de turmas. O comportamento agressivo será medido pela forma reduzida do Questionário de Agressividade de Buss e Perry e pelo Questionário de Agressão Reactiva e Proactiva, ambos com versão portuguesa validada. Os factores psicossociais serão avaliados por módulos de instrumentos validados, designadamente o APGAR familiar, itens do questionário internacional de experiências adversas na infância da Organização Mundial da Saúde, itens do inquérito global de saúde escolar e a subescala de sintomas emocionais do Questionário de Capacidades e de Dificuldades. A análise incluirá estatística descritiva, testes de comparação e correlação, regressão linear múltipla e regressão logística binária, com um nível de significância de 5 por cento. Resultados esperados: espera-se identificar os factores psicossociais independentemente associados ao comportamento agressivo e fundamentar um programa escolar de prevenção alinhado com as estratégias INSPIRE.</w:t>
      </w:r>
    </w:p>
    <w:p>
      <w:pPr>
        <w:spacing w:line="360" w:lineRule="auto" w:after="120" w:before="0"/>
        <w:jc w:val="both"/>
      </w:pPr>
      <w:r>
        <w:rPr>
          <w:rFonts w:ascii="Times New Roman" w:hAnsi="Times New Roman" w:cs="Times New Roman" w:eastAsia="Times New Roman"/>
          <w:b w:val="0"/>
          <w:i w:val="0"/>
          <w:color w:val="000000"/>
          <w:sz w:val="24"/>
        </w:rPr>
        <w:t>Palavras-chave: adolescente, agressividade, factores psicossociais, Moçambique, saúde mental escolar, violência.</w:t>
      </w:r>
    </w:p>
    <w:p>
      <w:pPr>
        <w:spacing w:line="240" w:lineRule="auto" w:after="0" w:before="0"/>
        <w:jc w:val="left"/>
      </w:pPr>
      <w:r>
        <w:br w:type="page"/>
      </w:r>
    </w:p>
    <w:p>
      <w:pPr>
        <w:pStyle w:val="Heading1"/>
        <w:spacing w:line="360" w:lineRule="auto" w:after="120" w:before="240"/>
        <w:jc w:val="left"/>
      </w:pPr>
      <w:r>
        <w:rPr>
          <w:rFonts w:ascii="Times New Roman" w:hAnsi="Times New Roman" w:cs="Times New Roman" w:eastAsia="Times New Roman"/>
          <w:b/>
          <w:i w:val="0"/>
          <w:color w:val="000000"/>
          <w:sz w:val="26"/>
        </w:rPr>
        <w:t>ABSTRACT</w:t>
      </w:r>
    </w:p>
    <w:p>
      <w:pPr>
        <w:spacing w:line="360" w:lineRule="auto" w:after="120" w:before="0"/>
        <w:jc w:val="both"/>
      </w:pPr>
      <w:r>
        <w:rPr>
          <w:rFonts w:ascii="Times New Roman" w:hAnsi="Times New Roman" w:cs="Times New Roman" w:eastAsia="Times New Roman"/>
          <w:b w:val="0"/>
          <w:i w:val="0"/>
          <w:color w:val="000000"/>
          <w:sz w:val="24"/>
        </w:rPr>
        <w:t>Background: aggressive behaviour in adolescence is a public and mental health problem with lasting consequences for perpetrators, victims and schools. In low- and middle-income countries more than one third of school-going adolescents report physical fighting and, in sub-Saharan Africa, more than half report some form of interpersonal violence. In Mozambique, national data show early and widespread exposure to violence, yet no local study links psychosocial factors to aggression among school-going adolescents in Nampula city. Objective: to analyse the psychosocial factors related to aggressive behaviour among adolescents aged 10 to 19 years at Muatala Secondary School during the second semester of 2026. Methods: analytical cross-sectional quantitative study with probability sampling stratified by grade and random selection of classes. Aggressive behaviour will be measured with the short form of the Buss-Perry Aggression Questionnaire and with the Reactive-Proactive Aggression Questionnaire, both with validated Portuguese versions. Psychosocial factors will be assessed with modules drawn from validated instruments, namely the family APGAR, items from the World Health Organization Adverse Childhood Experiences International Questionnaire, items from the Global School-based Student Health Survey and the emotional symptoms subscale of the Strengths and Difficulties Questionnaire. Analysis will include descriptive statistics, comparison and correlation tests, multiple linear regression and binary logistic regression, with a 5 per cent significance level. Expected results: the study is expected to identify the psychosocial factors independently associated with aggressive behaviour and to support a school-based prevention programme aligned with the INSPIRE strategies.</w:t>
      </w:r>
    </w:p>
    <w:p>
      <w:pPr>
        <w:spacing w:line="360" w:lineRule="auto" w:after="120" w:before="0"/>
        <w:jc w:val="both"/>
      </w:pPr>
      <w:r>
        <w:rPr>
          <w:rFonts w:ascii="Times New Roman" w:hAnsi="Times New Roman" w:cs="Times New Roman" w:eastAsia="Times New Roman"/>
          <w:b w:val="0"/>
          <w:i w:val="0"/>
          <w:color w:val="000000"/>
          <w:sz w:val="24"/>
        </w:rPr>
        <w:t>Keywords: adolescent, aggression, Mozambique, psychosocial factors, school mental health, violence.</w:t>
      </w:r>
    </w:p>
    <w:p>
      <w:pPr>
        <w:spacing w:line="240" w:lineRule="auto" w:after="0" w:before="0"/>
        <w:jc w:val="left"/>
      </w:pPr>
      <w:r>
        <w:br w:type="page"/>
      </w:r>
    </w:p>
    <w:p>
      <w:pPr>
        <w:pStyle w:val="Heading1"/>
        <w:spacing w:line="360" w:lineRule="auto" w:after="120" w:before="240"/>
        <w:jc w:val="left"/>
      </w:pPr>
      <w:r>
        <w:rPr>
          <w:rFonts w:ascii="Times New Roman" w:hAnsi="Times New Roman" w:cs="Times New Roman" w:eastAsia="Times New Roman"/>
          <w:b/>
          <w:i w:val="0"/>
          <w:color w:val="000000"/>
          <w:sz w:val="26"/>
        </w:rPr>
        <w:t>LISTA DE ABREVIATURAS E SIGLAS</w:t>
      </w:r>
    </w:p>
    <w:p>
      <w:pPr>
        <w:spacing w:line="276" w:lineRule="auto" w:after="40" w:before="0"/>
        <w:jc w:val="left"/>
      </w:pPr>
      <w:r>
        <w:rPr>
          <w:rFonts w:ascii="Times New Roman" w:hAnsi="Times New Roman" w:cs="Times New Roman" w:eastAsia="Times New Roman"/>
          <w:b w:val="0"/>
          <w:i w:val="0"/>
          <w:color w:val="000000"/>
          <w:sz w:val="24"/>
        </w:rPr>
        <w:t>ACE-IQ = Adverse Childhood Experiences International Questionnaire;</w:t>
      </w:r>
    </w:p>
    <w:p>
      <w:pPr>
        <w:spacing w:line="276" w:lineRule="auto" w:after="40" w:before="0"/>
        <w:jc w:val="left"/>
      </w:pPr>
      <w:r>
        <w:rPr>
          <w:rFonts w:ascii="Times New Roman" w:hAnsi="Times New Roman" w:cs="Times New Roman" w:eastAsia="Times New Roman"/>
          <w:b w:val="0"/>
          <w:i w:val="0"/>
          <w:color w:val="000000"/>
          <w:sz w:val="24"/>
        </w:rPr>
        <w:t>aOR = odds ratio ajustado (adjusted odds ratio);</w:t>
      </w:r>
    </w:p>
    <w:p>
      <w:pPr>
        <w:spacing w:line="276" w:lineRule="auto" w:after="40" w:before="0"/>
        <w:jc w:val="left"/>
      </w:pPr>
      <w:r>
        <w:rPr>
          <w:rFonts w:ascii="Times New Roman" w:hAnsi="Times New Roman" w:cs="Times New Roman" w:eastAsia="Times New Roman"/>
          <w:b w:val="0"/>
          <w:i w:val="0"/>
          <w:color w:val="000000"/>
          <w:sz w:val="24"/>
        </w:rPr>
        <w:t>APGAR = escala de funcionamento familiar de Smilkstein;</w:t>
      </w:r>
    </w:p>
    <w:p>
      <w:pPr>
        <w:spacing w:line="276" w:lineRule="auto" w:after="40" w:before="0"/>
        <w:jc w:val="left"/>
      </w:pPr>
      <w:r>
        <w:rPr>
          <w:rFonts w:ascii="Times New Roman" w:hAnsi="Times New Roman" w:cs="Times New Roman" w:eastAsia="Times New Roman"/>
          <w:b w:val="0"/>
          <w:i w:val="0"/>
          <w:color w:val="000000"/>
          <w:sz w:val="24"/>
        </w:rPr>
        <w:t>BPAQ = Buss-Perry Aggression Questionnaire;</w:t>
      </w:r>
    </w:p>
    <w:p>
      <w:pPr>
        <w:spacing w:line="276" w:lineRule="auto" w:after="40" w:before="0"/>
        <w:jc w:val="left"/>
      </w:pPr>
      <w:r>
        <w:rPr>
          <w:rFonts w:ascii="Times New Roman" w:hAnsi="Times New Roman" w:cs="Times New Roman" w:eastAsia="Times New Roman"/>
          <w:b w:val="0"/>
          <w:i w:val="0"/>
          <w:color w:val="000000"/>
          <w:sz w:val="24"/>
        </w:rPr>
        <w:t>BPAQ-SF = Buss-Perry Aggression Questionnaire, forma reduzida;</w:t>
      </w:r>
    </w:p>
    <w:p>
      <w:pPr>
        <w:spacing w:line="276" w:lineRule="auto" w:after="40" w:before="0"/>
        <w:jc w:val="left"/>
      </w:pPr>
      <w:r>
        <w:rPr>
          <w:rFonts w:ascii="Times New Roman" w:hAnsi="Times New Roman" w:cs="Times New Roman" w:eastAsia="Times New Roman"/>
          <w:b w:val="0"/>
          <w:i w:val="0"/>
          <w:color w:val="000000"/>
          <w:sz w:val="24"/>
        </w:rPr>
        <w:t>CIBS = Comité Institucional de Bioética para a Saúde;</w:t>
      </w:r>
    </w:p>
    <w:p>
      <w:pPr>
        <w:spacing w:line="276" w:lineRule="auto" w:after="40" w:before="0"/>
        <w:jc w:val="left"/>
      </w:pPr>
      <w:r>
        <w:rPr>
          <w:rFonts w:ascii="Times New Roman" w:hAnsi="Times New Roman" w:cs="Times New Roman" w:eastAsia="Times New Roman"/>
          <w:b w:val="0"/>
          <w:i w:val="0"/>
          <w:color w:val="000000"/>
          <w:sz w:val="24"/>
        </w:rPr>
        <w:t>CNBS = Comité Nacional de Bioética para a Saúde;</w:t>
      </w:r>
    </w:p>
    <w:p>
      <w:pPr>
        <w:spacing w:line="276" w:lineRule="auto" w:after="40" w:before="0"/>
        <w:jc w:val="left"/>
      </w:pPr>
      <w:r>
        <w:rPr>
          <w:rFonts w:ascii="Times New Roman" w:hAnsi="Times New Roman" w:cs="Times New Roman" w:eastAsia="Times New Roman"/>
          <w:b w:val="0"/>
          <w:i w:val="0"/>
          <w:color w:val="000000"/>
          <w:sz w:val="24"/>
        </w:rPr>
        <w:t>deff = efeito de desenho (design effect);</w:t>
      </w:r>
    </w:p>
    <w:p>
      <w:pPr>
        <w:spacing w:line="276" w:lineRule="auto" w:after="40" w:before="0"/>
        <w:jc w:val="left"/>
      </w:pPr>
      <w:r>
        <w:rPr>
          <w:rFonts w:ascii="Times New Roman" w:hAnsi="Times New Roman" w:cs="Times New Roman" w:eastAsia="Times New Roman"/>
          <w:b w:val="0"/>
          <w:i w:val="0"/>
          <w:color w:val="000000"/>
          <w:sz w:val="24"/>
        </w:rPr>
        <w:t>FCS = Faculdade de Ciências de Saúde;</w:t>
      </w:r>
    </w:p>
    <w:p>
      <w:pPr>
        <w:spacing w:line="276" w:lineRule="auto" w:after="40" w:before="0"/>
        <w:jc w:val="left"/>
      </w:pPr>
      <w:r>
        <w:rPr>
          <w:rFonts w:ascii="Times New Roman" w:hAnsi="Times New Roman" w:cs="Times New Roman" w:eastAsia="Times New Roman"/>
          <w:b w:val="0"/>
          <w:i w:val="0"/>
          <w:color w:val="000000"/>
          <w:sz w:val="24"/>
        </w:rPr>
        <w:t>GSHS = Global School-based Student Health Survey;</w:t>
      </w:r>
    </w:p>
    <w:p>
      <w:pPr>
        <w:spacing w:line="276" w:lineRule="auto" w:after="40" w:before="0"/>
        <w:jc w:val="left"/>
      </w:pPr>
      <w:r>
        <w:rPr>
          <w:rFonts w:ascii="Times New Roman" w:hAnsi="Times New Roman" w:cs="Times New Roman" w:eastAsia="Times New Roman"/>
          <w:b w:val="0"/>
          <w:i w:val="0"/>
          <w:color w:val="000000"/>
          <w:sz w:val="24"/>
        </w:rPr>
        <w:t>IC = intervalo de confiança;</w:t>
      </w:r>
    </w:p>
    <w:p>
      <w:pPr>
        <w:spacing w:line="276" w:lineRule="auto" w:after="40" w:before="0"/>
        <w:jc w:val="left"/>
      </w:pPr>
      <w:r>
        <w:rPr>
          <w:rFonts w:ascii="Times New Roman" w:hAnsi="Times New Roman" w:cs="Times New Roman" w:eastAsia="Times New Roman"/>
          <w:b w:val="0"/>
          <w:i w:val="0"/>
          <w:color w:val="000000"/>
          <w:sz w:val="24"/>
        </w:rPr>
        <w:t>INSPIRE = pacote de sete estratégias da Organização Mundial da Saúde para pôr fim à violência contra as crianças;</w:t>
      </w:r>
    </w:p>
    <w:p>
      <w:pPr>
        <w:spacing w:line="276" w:lineRule="auto" w:after="40" w:before="0"/>
        <w:jc w:val="left"/>
      </w:pPr>
      <w:r>
        <w:rPr>
          <w:rFonts w:ascii="Times New Roman" w:hAnsi="Times New Roman" w:cs="Times New Roman" w:eastAsia="Times New Roman"/>
          <w:b w:val="0"/>
          <w:i w:val="0"/>
          <w:color w:val="000000"/>
          <w:sz w:val="24"/>
        </w:rPr>
        <w:t>MINEDH = Ministério da Educação e Desenvolvimento Humano;</w:t>
      </w:r>
    </w:p>
    <w:p>
      <w:pPr>
        <w:spacing w:line="276" w:lineRule="auto" w:after="40" w:before="0"/>
        <w:jc w:val="left"/>
      </w:pPr>
      <w:r>
        <w:rPr>
          <w:rFonts w:ascii="Times New Roman" w:hAnsi="Times New Roman" w:cs="Times New Roman" w:eastAsia="Times New Roman"/>
          <w:b w:val="0"/>
          <w:i w:val="0"/>
          <w:color w:val="000000"/>
          <w:sz w:val="24"/>
        </w:rPr>
        <w:t>MISAU = Ministério da Saúde;</w:t>
      </w:r>
    </w:p>
    <w:p>
      <w:pPr>
        <w:spacing w:line="276" w:lineRule="auto" w:after="40" w:before="0"/>
        <w:jc w:val="left"/>
      </w:pPr>
      <w:r>
        <w:rPr>
          <w:rFonts w:ascii="Times New Roman" w:hAnsi="Times New Roman" w:cs="Times New Roman" w:eastAsia="Times New Roman"/>
          <w:b w:val="0"/>
          <w:i w:val="0"/>
          <w:color w:val="000000"/>
          <w:sz w:val="24"/>
        </w:rPr>
        <w:t>MZN = metical moçambicano;</w:t>
      </w:r>
    </w:p>
    <w:p>
      <w:pPr>
        <w:spacing w:line="276" w:lineRule="auto" w:after="40" w:before="0"/>
        <w:jc w:val="left"/>
      </w:pPr>
      <w:r>
        <w:rPr>
          <w:rFonts w:ascii="Times New Roman" w:hAnsi="Times New Roman" w:cs="Times New Roman" w:eastAsia="Times New Roman"/>
          <w:b w:val="0"/>
          <w:i w:val="0"/>
          <w:color w:val="000000"/>
          <w:sz w:val="24"/>
        </w:rPr>
        <w:t>OMS = Organização Mundial da Saúde;</w:t>
      </w:r>
    </w:p>
    <w:p>
      <w:pPr>
        <w:spacing w:line="276" w:lineRule="auto" w:after="40" w:before="0"/>
        <w:jc w:val="left"/>
      </w:pPr>
      <w:r>
        <w:rPr>
          <w:rFonts w:ascii="Times New Roman" w:hAnsi="Times New Roman" w:cs="Times New Roman" w:eastAsia="Times New Roman"/>
          <w:b w:val="0"/>
          <w:i w:val="0"/>
          <w:color w:val="000000"/>
          <w:sz w:val="24"/>
        </w:rPr>
        <w:t>OR = odds ratio;</w:t>
      </w:r>
    </w:p>
    <w:p>
      <w:pPr>
        <w:spacing w:line="276" w:lineRule="auto" w:after="40" w:before="0"/>
        <w:jc w:val="left"/>
      </w:pPr>
      <w:r>
        <w:rPr>
          <w:rFonts w:ascii="Times New Roman" w:hAnsi="Times New Roman" w:cs="Times New Roman" w:eastAsia="Times New Roman"/>
          <w:b w:val="0"/>
          <w:i w:val="0"/>
          <w:color w:val="000000"/>
          <w:sz w:val="24"/>
        </w:rPr>
        <w:t>RPQ = Reactive-Proactive Aggression Questionnaire;</w:t>
      </w:r>
    </w:p>
    <w:p>
      <w:pPr>
        <w:spacing w:line="276" w:lineRule="auto" w:after="40" w:before="0"/>
        <w:jc w:val="left"/>
      </w:pPr>
      <w:r>
        <w:rPr>
          <w:rFonts w:ascii="Times New Roman" w:hAnsi="Times New Roman" w:cs="Times New Roman" w:eastAsia="Times New Roman"/>
          <w:b w:val="0"/>
          <w:i w:val="0"/>
          <w:color w:val="000000"/>
          <w:sz w:val="24"/>
        </w:rPr>
        <w:t>SDQ = Strengths and Difficulties Questionnaire;</w:t>
      </w:r>
    </w:p>
    <w:p>
      <w:pPr>
        <w:spacing w:line="276" w:lineRule="auto" w:after="40" w:before="0"/>
        <w:jc w:val="left"/>
      </w:pPr>
      <w:r>
        <w:rPr>
          <w:rFonts w:ascii="Times New Roman" w:hAnsi="Times New Roman" w:cs="Times New Roman" w:eastAsia="Times New Roman"/>
          <w:b w:val="0"/>
          <w:i w:val="0"/>
          <w:color w:val="000000"/>
          <w:sz w:val="24"/>
        </w:rPr>
        <w:t>SPSS = Statistical Package for the Social Sciences;</w:t>
      </w:r>
    </w:p>
    <w:p>
      <w:pPr>
        <w:spacing w:line="276" w:lineRule="auto" w:after="40" w:before="0"/>
        <w:jc w:val="left"/>
      </w:pPr>
      <w:r>
        <w:rPr>
          <w:rFonts w:ascii="Times New Roman" w:hAnsi="Times New Roman" w:cs="Times New Roman" w:eastAsia="Times New Roman"/>
          <w:b w:val="0"/>
          <w:i w:val="0"/>
          <w:color w:val="000000"/>
          <w:sz w:val="24"/>
        </w:rPr>
        <w:t>STROBE = Strengthening the Reporting of Observational Studies in Epidemiology;</w:t>
      </w:r>
    </w:p>
    <w:p>
      <w:pPr>
        <w:spacing w:line="276" w:lineRule="auto" w:after="40" w:before="0"/>
        <w:jc w:val="left"/>
      </w:pPr>
      <w:r>
        <w:rPr>
          <w:rFonts w:ascii="Times New Roman" w:hAnsi="Times New Roman" w:cs="Times New Roman" w:eastAsia="Times New Roman"/>
          <w:b w:val="0"/>
          <w:i w:val="0"/>
          <w:color w:val="000000"/>
          <w:sz w:val="24"/>
        </w:rPr>
        <w:t>TCLE = termo de consentimento livre e esclarecido;</w:t>
      </w:r>
    </w:p>
    <w:p>
      <w:pPr>
        <w:spacing w:line="276" w:lineRule="auto" w:after="40" w:before="0"/>
        <w:jc w:val="left"/>
      </w:pPr>
      <w:r>
        <w:rPr>
          <w:rFonts w:ascii="Times New Roman" w:hAnsi="Times New Roman" w:cs="Times New Roman" w:eastAsia="Times New Roman"/>
          <w:b w:val="0"/>
          <w:i w:val="0"/>
          <w:color w:val="000000"/>
          <w:sz w:val="24"/>
        </w:rPr>
        <w:t>UniLúrio = Universidade Lúrio;</w:t>
      </w:r>
    </w:p>
    <w:p>
      <w:pPr>
        <w:spacing w:line="276" w:lineRule="auto" w:after="40" w:before="0"/>
        <w:jc w:val="left"/>
      </w:pPr>
      <w:r>
        <w:rPr>
          <w:rFonts w:ascii="Times New Roman" w:hAnsi="Times New Roman" w:cs="Times New Roman" w:eastAsia="Times New Roman"/>
          <w:b w:val="0"/>
          <w:i w:val="0"/>
          <w:color w:val="000000"/>
          <w:sz w:val="24"/>
        </w:rPr>
        <w:t>VACS = Violence Against Children and Youth Survey.</w:t>
      </w:r>
    </w:p>
    <w:p>
      <w:pPr>
        <w:spacing w:line="240" w:lineRule="auto" w:after="0" w:before="0"/>
        <w:jc w:val="left"/>
      </w:pPr>
      <w:r>
        <w:br w:type="page"/>
      </w:r>
    </w:p>
    <w:p>
      <w:pPr>
        <w:pStyle w:val="Heading1"/>
        <w:spacing w:line="360" w:lineRule="auto" w:after="120" w:before="240"/>
        <w:jc w:val="left"/>
      </w:pPr>
      <w:r>
        <w:rPr>
          <w:rFonts w:ascii="Times New Roman" w:hAnsi="Times New Roman" w:cs="Times New Roman" w:eastAsia="Times New Roman"/>
          <w:b/>
          <w:i w:val="0"/>
          <w:color w:val="000000"/>
          <w:sz w:val="26"/>
        </w:rPr>
        <w:t>ÍNDICE</w:t>
      </w:r>
    </w:p>
    <w:p>
      <w:pPr>
        <w:spacing w:line="240" w:lineRule="auto" w:after="240" w:before="0"/>
        <w:jc w:val="left"/>
      </w:pPr>
      <w:r>
        <w:rPr>
          <w:rFonts w:ascii="Times New Roman" w:hAnsi="Times New Roman" w:cs="Times New Roman" w:eastAsia="Times New Roman"/>
          <w:b w:val="0"/>
          <w:i/>
          <w:color w:val="000000"/>
          <w:sz w:val="22"/>
        </w:rPr>
        <w:t>Actualizar o índice automático no Word através de Referências, Índice, Actualizar tabela.</w:t>
      </w:r>
    </w:p>
    <w:p>
      <w:pPr>
        <w:spacing w:line="276" w:lineRule="auto" w:after="40" w:before="0"/>
        <w:jc w:val="left"/>
      </w:pPr>
      <w:r>
        <w:rPr>
          <w:rFonts w:ascii="Times New Roman" w:hAnsi="Times New Roman" w:cs="Times New Roman" w:eastAsia="Times New Roman"/>
          <w:b w:val="0"/>
          <w:i w:val="0"/>
          <w:color w:val="000000"/>
          <w:sz w:val="24"/>
        </w:rPr>
        <w:t>Resumo</w:t>
      </w:r>
    </w:p>
    <w:p>
      <w:pPr>
        <w:spacing w:line="276" w:lineRule="auto" w:after="40" w:before="0"/>
        <w:jc w:val="left"/>
      </w:pPr>
      <w:r>
        <w:rPr>
          <w:rFonts w:ascii="Times New Roman" w:hAnsi="Times New Roman" w:cs="Times New Roman" w:eastAsia="Times New Roman"/>
          <w:b w:val="0"/>
          <w:i w:val="0"/>
          <w:color w:val="000000"/>
          <w:sz w:val="24"/>
        </w:rPr>
        <w:t>Abstract</w:t>
      </w:r>
    </w:p>
    <w:p>
      <w:pPr>
        <w:spacing w:line="276" w:lineRule="auto" w:after="40" w:before="0"/>
        <w:jc w:val="left"/>
      </w:pPr>
      <w:r>
        <w:rPr>
          <w:rFonts w:ascii="Times New Roman" w:hAnsi="Times New Roman" w:cs="Times New Roman" w:eastAsia="Times New Roman"/>
          <w:b w:val="0"/>
          <w:i w:val="0"/>
          <w:color w:val="000000"/>
          <w:sz w:val="24"/>
        </w:rPr>
        <w:t>Lista de abreviaturas e siglas</w:t>
      </w:r>
    </w:p>
    <w:p>
      <w:pPr>
        <w:spacing w:line="276" w:lineRule="auto" w:after="40" w:before="0"/>
        <w:jc w:val="left"/>
      </w:pPr>
      <w:r>
        <w:rPr>
          <w:rFonts w:ascii="Times New Roman" w:hAnsi="Times New Roman" w:cs="Times New Roman" w:eastAsia="Times New Roman"/>
          <w:b w:val="0"/>
          <w:i w:val="0"/>
          <w:color w:val="000000"/>
          <w:sz w:val="24"/>
        </w:rPr>
        <w:t>1. Introdução</w:t>
      </w:r>
    </w:p>
    <w:p>
      <w:pPr>
        <w:spacing w:line="276" w:lineRule="auto" w:after="40" w:before="0"/>
        <w:jc w:val="left"/>
      </w:pPr>
      <w:r>
        <w:rPr>
          <w:rFonts w:ascii="Times New Roman" w:hAnsi="Times New Roman" w:cs="Times New Roman" w:eastAsia="Times New Roman"/>
          <w:b w:val="0"/>
          <w:i w:val="0"/>
          <w:color w:val="000000"/>
          <w:sz w:val="24"/>
        </w:rPr>
        <w:t>2. Identificação e formulação do problema</w:t>
      </w:r>
    </w:p>
    <w:p>
      <w:pPr>
        <w:spacing w:line="276" w:lineRule="auto" w:after="40" w:before="0"/>
        <w:jc w:val="left"/>
      </w:pPr>
      <w:r>
        <w:rPr>
          <w:rFonts w:ascii="Times New Roman" w:hAnsi="Times New Roman" w:cs="Times New Roman" w:eastAsia="Times New Roman"/>
          <w:b w:val="0"/>
          <w:i w:val="0"/>
          <w:color w:val="000000"/>
          <w:sz w:val="24"/>
        </w:rPr>
        <w:t>3. Objectivos</w:t>
      </w:r>
    </w:p>
    <w:p>
      <w:pPr>
        <w:spacing w:line="276" w:lineRule="auto" w:after="40" w:before="0"/>
        <w:jc w:val="left"/>
      </w:pPr>
      <w:r>
        <w:rPr>
          <w:rFonts w:ascii="Times New Roman" w:hAnsi="Times New Roman" w:cs="Times New Roman" w:eastAsia="Times New Roman"/>
          <w:b w:val="0"/>
          <w:i w:val="0"/>
          <w:color w:val="000000"/>
          <w:sz w:val="24"/>
        </w:rPr>
        <w:t>4. Hipóteses de investigação</w:t>
      </w:r>
    </w:p>
    <w:p>
      <w:pPr>
        <w:spacing w:line="276" w:lineRule="auto" w:after="40" w:before="0"/>
        <w:jc w:val="left"/>
      </w:pPr>
      <w:r>
        <w:rPr>
          <w:rFonts w:ascii="Times New Roman" w:hAnsi="Times New Roman" w:cs="Times New Roman" w:eastAsia="Times New Roman"/>
          <w:b w:val="0"/>
          <w:i w:val="0"/>
          <w:color w:val="000000"/>
          <w:sz w:val="24"/>
        </w:rPr>
        <w:t>5. Justificativa</w:t>
      </w:r>
    </w:p>
    <w:p>
      <w:pPr>
        <w:spacing w:line="276" w:lineRule="auto" w:after="40" w:before="0"/>
        <w:jc w:val="left"/>
      </w:pPr>
      <w:r>
        <w:rPr>
          <w:rFonts w:ascii="Times New Roman" w:hAnsi="Times New Roman" w:cs="Times New Roman" w:eastAsia="Times New Roman"/>
          <w:b w:val="0"/>
          <w:i w:val="0"/>
          <w:color w:val="000000"/>
          <w:sz w:val="24"/>
        </w:rPr>
        <w:t>6. Revisão da literatura</w:t>
      </w:r>
    </w:p>
    <w:p>
      <w:pPr>
        <w:spacing w:line="276" w:lineRule="auto" w:after="40" w:before="0"/>
        <w:jc w:val="left"/>
      </w:pPr>
      <w:r>
        <w:rPr>
          <w:rFonts w:ascii="Times New Roman" w:hAnsi="Times New Roman" w:cs="Times New Roman" w:eastAsia="Times New Roman"/>
          <w:b w:val="0"/>
          <w:i w:val="0"/>
          <w:color w:val="000000"/>
          <w:sz w:val="24"/>
        </w:rPr>
        <w:t>7. Metodologia</w:t>
      </w:r>
    </w:p>
    <w:p>
      <w:pPr>
        <w:spacing w:line="276" w:lineRule="auto" w:after="40" w:before="0"/>
        <w:jc w:val="left"/>
      </w:pPr>
      <w:r>
        <w:rPr>
          <w:rFonts w:ascii="Times New Roman" w:hAnsi="Times New Roman" w:cs="Times New Roman" w:eastAsia="Times New Roman"/>
          <w:b w:val="0"/>
          <w:i w:val="0"/>
          <w:color w:val="000000"/>
          <w:sz w:val="24"/>
        </w:rPr>
        <w:t>8. Resultados esperados</w:t>
      </w:r>
    </w:p>
    <w:p>
      <w:pPr>
        <w:spacing w:line="276" w:lineRule="auto" w:after="40" w:before="0"/>
        <w:jc w:val="left"/>
      </w:pPr>
      <w:r>
        <w:rPr>
          <w:rFonts w:ascii="Times New Roman" w:hAnsi="Times New Roman" w:cs="Times New Roman" w:eastAsia="Times New Roman"/>
          <w:b w:val="0"/>
          <w:i w:val="0"/>
          <w:color w:val="000000"/>
          <w:sz w:val="24"/>
        </w:rPr>
        <w:t>9. Divulgação dos resultados</w:t>
      </w:r>
    </w:p>
    <w:p>
      <w:pPr>
        <w:spacing w:line="276" w:lineRule="auto" w:after="40" w:before="0"/>
        <w:jc w:val="left"/>
      </w:pPr>
      <w:r>
        <w:rPr>
          <w:rFonts w:ascii="Times New Roman" w:hAnsi="Times New Roman" w:cs="Times New Roman" w:eastAsia="Times New Roman"/>
          <w:b w:val="0"/>
          <w:i w:val="0"/>
          <w:color w:val="000000"/>
          <w:sz w:val="24"/>
        </w:rPr>
        <w:t>10. Cronograma de actividades</w:t>
      </w:r>
    </w:p>
    <w:p>
      <w:pPr>
        <w:spacing w:line="276" w:lineRule="auto" w:after="40" w:before="0"/>
        <w:jc w:val="left"/>
      </w:pPr>
      <w:r>
        <w:rPr>
          <w:rFonts w:ascii="Times New Roman" w:hAnsi="Times New Roman" w:cs="Times New Roman" w:eastAsia="Times New Roman"/>
          <w:b w:val="0"/>
          <w:i w:val="0"/>
          <w:color w:val="000000"/>
          <w:sz w:val="24"/>
        </w:rPr>
        <w:t>11. Orçamento</w:t>
      </w:r>
    </w:p>
    <w:p>
      <w:pPr>
        <w:spacing w:line="276" w:lineRule="auto" w:after="40" w:before="0"/>
        <w:jc w:val="left"/>
      </w:pPr>
      <w:r>
        <w:rPr>
          <w:rFonts w:ascii="Times New Roman" w:hAnsi="Times New Roman" w:cs="Times New Roman" w:eastAsia="Times New Roman"/>
          <w:b w:val="0"/>
          <w:i w:val="0"/>
          <w:color w:val="000000"/>
          <w:sz w:val="24"/>
        </w:rPr>
        <w:t>12. Recursos humanos</w:t>
      </w:r>
    </w:p>
    <w:p>
      <w:pPr>
        <w:spacing w:line="276" w:lineRule="auto" w:after="40" w:before="0"/>
        <w:jc w:val="left"/>
      </w:pPr>
      <w:r>
        <w:rPr>
          <w:rFonts w:ascii="Times New Roman" w:hAnsi="Times New Roman" w:cs="Times New Roman" w:eastAsia="Times New Roman"/>
          <w:b w:val="0"/>
          <w:i w:val="0"/>
          <w:color w:val="000000"/>
          <w:sz w:val="24"/>
        </w:rPr>
        <w:t>Referências bibliográficas</w:t>
      </w:r>
    </w:p>
    <w:p>
      <w:pPr>
        <w:spacing w:line="276" w:lineRule="auto" w:after="40" w:before="0"/>
        <w:jc w:val="left"/>
      </w:pPr>
      <w:r>
        <w:rPr>
          <w:rFonts w:ascii="Times New Roman" w:hAnsi="Times New Roman" w:cs="Times New Roman" w:eastAsia="Times New Roman"/>
          <w:b w:val="0"/>
          <w:i w:val="0"/>
          <w:color w:val="000000"/>
          <w:sz w:val="24"/>
        </w:rPr>
        <w:t>Apêndices</w:t>
      </w:r>
    </w:p>
    <w:p>
      <w:pPr>
        <w:spacing w:line="240" w:lineRule="auto" w:after="0" w:before="0"/>
        <w:jc w:val="left"/>
      </w:pPr>
      <w:r>
        <w:br w:type="page"/>
      </w:r>
    </w:p>
    <w:p>
      <w:pPr>
        <w:pStyle w:val="Heading1"/>
        <w:spacing w:line="360" w:lineRule="auto" w:after="120" w:before="240"/>
        <w:jc w:val="left"/>
      </w:pPr>
      <w:r>
        <w:rPr>
          <w:rFonts w:ascii="Times New Roman" w:hAnsi="Times New Roman" w:cs="Times New Roman" w:eastAsia="Times New Roman"/>
          <w:b/>
          <w:i w:val="0"/>
          <w:color w:val="000000"/>
          <w:sz w:val="26"/>
        </w:rPr>
        <w:t>1. INTRODUÇÃO</w:t>
      </w:r>
    </w:p>
    <w:p>
      <w:pPr>
        <w:spacing w:line="360" w:lineRule="auto" w:after="120" w:before="0"/>
        <w:jc w:val="both"/>
      </w:pPr>
      <w:r>
        <w:rPr>
          <w:rFonts w:ascii="Times New Roman" w:hAnsi="Times New Roman" w:cs="Times New Roman" w:eastAsia="Times New Roman"/>
          <w:b w:val="0"/>
          <w:i w:val="0"/>
          <w:color w:val="000000"/>
          <w:sz w:val="24"/>
        </w:rPr>
        <w:t>A adolescência, definida pela Organização Mundial da Saúde (OMS) como o período que vai dos 10 aos 19 anos de idade, é a fase em que se consolidam a identidade, a autonomia e os padrões de relacionamento que acompanham o indivíduo na vida adulta (1). É também o período em que se tornam mais visíveis os comportamentos externalizantes, entre os quais o comportamento agressivo ocupa lugar central, pelo peso que tem no percurso escolar, na saúde mental e na integração social do jovem (2).</w:t>
      </w:r>
    </w:p>
    <w:p>
      <w:pPr>
        <w:spacing w:line="360" w:lineRule="auto" w:after="120" w:before="0"/>
        <w:jc w:val="both"/>
      </w:pPr>
      <w:r>
        <w:rPr>
          <w:rFonts w:ascii="Times New Roman" w:hAnsi="Times New Roman" w:cs="Times New Roman" w:eastAsia="Times New Roman"/>
          <w:b w:val="0"/>
          <w:i w:val="0"/>
          <w:color w:val="000000"/>
          <w:sz w:val="24"/>
        </w:rPr>
        <w:t>Na literatura psicológica, o comportamento agressivo é entendido como qualquer conduta dirigida a outrem com a intenção de causar dano, distinguindo-se da violência pela gravidade e pela intencionalidade lesiva do acto (3). O modelo mais usado na avaliação da agressividade, proposto por Buss e Perry, organiza o construto em quatro dimensões: a agressão física, a agressão verbal, a ira e a hostilidade, sendo as duas primeiras de natureza instrumental e as duas últimas, respectivamente, de natureza emocional e cognitiva (4). A esta leitura acrescenta-se a distinção funcional entre a agressão reactiva, que surge como resposta defensiva a uma provocação percebida, e a agressão proactiva, deliberada e orientada para um objectivo, com correlatos psicossociais distintos (5).</w:t>
      </w:r>
    </w:p>
    <w:p>
      <w:pPr>
        <w:spacing w:line="360" w:lineRule="auto" w:after="120" w:before="0"/>
        <w:jc w:val="both"/>
      </w:pPr>
      <w:r>
        <w:rPr>
          <w:rFonts w:ascii="Times New Roman" w:hAnsi="Times New Roman" w:cs="Times New Roman" w:eastAsia="Times New Roman"/>
          <w:b w:val="0"/>
          <w:i w:val="0"/>
          <w:color w:val="000000"/>
          <w:sz w:val="24"/>
        </w:rPr>
        <w:t>A magnitude do problema é considerável. A violência juvenil figura entre as principais causas de morte e de incapacidade em adolescentes e adultos jovens em todo o mundo, e por cada jovem que morre muitos outros são atendidos por ferimentos resultantes de agressões (6). A análise dos inquéritos globais de saúde escolar realizada em 68 países de baixo e médio rendimento estimou que 36,4 por cento dos adolescentes dos 12 aos 15 anos se envolveram em lutas físicas e 34,4 por cento foram alvo de bullying nos períodos de referência, com prevalências consistentemente superiores nos rapazes (7). Na África subsariana os valores são ainda mais elevados: numa análise agrupada de oito países, envolvendo 14.967 adolescentes dos 10 aos 19 anos, a prevalência de violência interpessoal foi de 53,7 por cento, e num conjunto de onze países a vitimização por bullying atingiu 38,8 por cento (8,9).</w:t>
      </w:r>
    </w:p>
    <w:p>
      <w:pPr>
        <w:spacing w:line="360" w:lineRule="auto" w:after="120" w:before="0"/>
        <w:jc w:val="both"/>
      </w:pPr>
      <w:r>
        <w:rPr>
          <w:rFonts w:ascii="Times New Roman" w:hAnsi="Times New Roman" w:cs="Times New Roman" w:eastAsia="Times New Roman"/>
          <w:b w:val="0"/>
          <w:i w:val="0"/>
          <w:color w:val="000000"/>
          <w:sz w:val="24"/>
        </w:rPr>
        <w:t>Em Moçambique, o Inquérito Nacional sobre a Violência Contra as Crianças e os Jovens, realizado em 2019, mostrou que 23,9 por cento das raparigas e 34,1 por cento dos rapazes dos 18 aos 24 anos sofreram violência física antes dos 18 anos, e que 27,5 por cento das raparigas e 38,2 por cento dos rapazes testemunharam violência física dentro de casa no mesmo período (10). Entre os adolescentes dos 13 aos 17 anos, 8,2 por cento das raparigas e 16,8 por cento dos rapazes referiram violência física praticada por pares nos doze meses anteriores, e cerca de um terço, em ambos os sexos, presenciou violência física na comunidade no mesmo intervalo (10). A análise multipaís dos mesmos inquéritos na África subsariana confirma que a exposição à violência na infância é a regra e não a excepção, com mais de sete em cada dez inquiridos a relatar pelo menos uma experiência adversa (11).</w:t>
      </w:r>
    </w:p>
    <w:p>
      <w:pPr>
        <w:spacing w:line="360" w:lineRule="auto" w:after="120" w:before="0"/>
        <w:jc w:val="both"/>
      </w:pPr>
      <w:r>
        <w:rPr>
          <w:rFonts w:ascii="Times New Roman" w:hAnsi="Times New Roman" w:cs="Times New Roman" w:eastAsia="Times New Roman"/>
          <w:b w:val="0"/>
          <w:i w:val="0"/>
          <w:color w:val="000000"/>
          <w:sz w:val="24"/>
        </w:rPr>
        <w:t>A estes dados junta-se um padrão preocupante de consumo de substâncias e de sofrimento psicológico. Ainda a partir do inquérito nacional de 2019, a prevalência de consumo de álcool entre os 13 e os 24 anos foi de 29,7 por cento e a de consumo de drogas de 22,5 por cento (12). Num estudo conduzido em duas escolas da cidade de Maputo com entrevista diagnóstica estruturada, 23,0 por cento dos 488 estudantes dos 12 aos 19 anos apresentavam uma perturbação mental, sobretudo do espectro ansioso e depressivo, e apenas 2,7 por cento tinham procurado cuidados de saúde mental no ano anterior (13). Em distritos marcados por conflito armado, como Gorongosa, os problemas de saúde mental dos jovens aparecem associados à exposição à violência e às dificuldades socioeconómicas do agregado (14).</w:t>
      </w:r>
    </w:p>
    <w:p>
      <w:pPr>
        <w:spacing w:line="360" w:lineRule="auto" w:after="120" w:before="0"/>
        <w:jc w:val="both"/>
      </w:pPr>
      <w:r>
        <w:rPr>
          <w:rFonts w:ascii="Times New Roman" w:hAnsi="Times New Roman" w:cs="Times New Roman" w:eastAsia="Times New Roman"/>
          <w:b w:val="0"/>
          <w:i w:val="0"/>
          <w:color w:val="000000"/>
          <w:sz w:val="24"/>
        </w:rPr>
        <w:t>A explicação para estas condutas raramente é individual. A teoria da aprendizagem social demonstrou, desde os trabalhos clássicos de Bandura, que a criança aprende a agredir observando e imitando modelos agressivos do seu meio, sobretudo quando esses modelos são recompensados (15). O modelo ecológico adoptado pela OMS organiza os determinantes da violência em quatro níveis que interagem entre si, o individual, o relacional, o comunitário e o social, e é hoje a moldura de referência para o desenho de intervenções preventivas (3). A tradução operacional desta moldura consta do relatório global sobre a prevenção da violência contra as crianças e do pacote INSPIRE, que reúne sete estratégias de eficácia comprovada, entre as quais a educação parental, a criação de ambientes escolares seguros e o desenvolvimento de competências socioemocionais (16,17).</w:t>
      </w:r>
    </w:p>
    <w:p>
      <w:pPr>
        <w:spacing w:line="360" w:lineRule="auto" w:after="120" w:before="0"/>
        <w:jc w:val="both"/>
      </w:pPr>
      <w:r>
        <w:rPr>
          <w:rFonts w:ascii="Times New Roman" w:hAnsi="Times New Roman" w:cs="Times New Roman" w:eastAsia="Times New Roman"/>
          <w:b w:val="0"/>
          <w:i w:val="0"/>
          <w:color w:val="000000"/>
          <w:sz w:val="24"/>
        </w:rPr>
        <w:t>Apesar da relevância do tema, a investigação moçambicana sobre a agressividade em adolescentes escolarizados é escassa e concentra-se na região sul do país. Na cidade de Nampula, onde se situa a Escola Secundária de Muatala, não se conhecem estudos que tenham medido o comportamento agressivo com instrumentos psicométricos validados nem que tenham examinado os factores psicossociais a ele associados. Este protocolo propõe-se colmatar essa lacuna, analisando os factores psicossociais relacionados ao comportamento agressivo nos adolescentes dos 10 aos 19 anos daquela escola, durante o segundo semestre de 2026, com vista a fundamentar uma intervenção preventiva ajustada ao contexto local.</w:t>
      </w:r>
    </w:p>
    <w:p>
      <w:pPr>
        <w:pStyle w:val="Heading1"/>
        <w:spacing w:line="360" w:lineRule="auto" w:after="120" w:before="240"/>
        <w:jc w:val="left"/>
      </w:pPr>
      <w:r>
        <w:rPr>
          <w:rFonts w:ascii="Times New Roman" w:hAnsi="Times New Roman" w:cs="Times New Roman" w:eastAsia="Times New Roman"/>
          <w:b/>
          <w:i w:val="0"/>
          <w:color w:val="000000"/>
          <w:sz w:val="26"/>
        </w:rPr>
        <w:t>2. IDENTIFICAÇÃO E FORMULAÇÃO DO PROBLEMA</w:t>
      </w:r>
    </w:p>
    <w:p>
      <w:pPr>
        <w:spacing w:line="360" w:lineRule="auto" w:after="120" w:before="0"/>
        <w:jc w:val="both"/>
      </w:pPr>
      <w:r>
        <w:rPr>
          <w:rFonts w:ascii="Times New Roman" w:hAnsi="Times New Roman" w:cs="Times New Roman" w:eastAsia="Times New Roman"/>
          <w:b w:val="0"/>
          <w:i w:val="0"/>
          <w:color w:val="000000"/>
          <w:sz w:val="24"/>
        </w:rPr>
        <w:t>As escolas secundárias moçambicanas convivem com episódios frequentes de agressão entre alunos, que vão da injúria e da ameaça às agressões físicas e ao bullying persistente. Estes episódios comprometem o clima de aprendizagem, contribuem para o absentismo e o abandono escolar e produzem sofrimento psicológico em quem agride e em quem é vitimado (2,8). A direcção das escolas responde, em regra, com medidas disciplinares que não actuam sobre as causas, porque estas se situam fora da sala de aula.</w:t>
      </w:r>
    </w:p>
    <w:p>
      <w:pPr>
        <w:spacing w:line="360" w:lineRule="auto" w:after="120" w:before="0"/>
        <w:jc w:val="both"/>
      </w:pPr>
      <w:r>
        <w:rPr>
          <w:rFonts w:ascii="Times New Roman" w:hAnsi="Times New Roman" w:cs="Times New Roman" w:eastAsia="Times New Roman"/>
          <w:b w:val="0"/>
          <w:i w:val="0"/>
          <w:color w:val="000000"/>
          <w:sz w:val="24"/>
        </w:rPr>
        <w:t>A literatura internacional identifica de forma consistente um conjunto de factores psicossociais associados ao comportamento agressivo: o castigo físico e a violência vividos ou testemunhados em casa, a fraca supervisão parental e a disfunção familiar, a vitimização por bullying, a associação a pares desviantes, o insucesso escolar, o consumo de álcool e de outras substâncias psicoactivas e a exposição à violência comunitária (18-21). Em Moçambique, os determinantes distais estão bem documentados, entre eles a elevada exposição infantil à violência física e sexual, incluindo em ambiente escolar, e o legado da violência política em várias regiões do país (10,22,23). O que falta é a articulação local entre estes determinantes e a medida psicométrica da agressividade dos adolescentes que frequentam a escola.</w:t>
      </w:r>
    </w:p>
    <w:p>
      <w:pPr>
        <w:spacing w:line="360" w:lineRule="auto" w:after="120" w:before="0"/>
        <w:jc w:val="both"/>
      </w:pPr>
      <w:r>
        <w:rPr>
          <w:rFonts w:ascii="Times New Roman" w:hAnsi="Times New Roman" w:cs="Times New Roman" w:eastAsia="Times New Roman"/>
          <w:b w:val="0"/>
          <w:i w:val="0"/>
          <w:color w:val="000000"/>
          <w:sz w:val="24"/>
        </w:rPr>
        <w:t>A Escola Secundária de Muatala reúne alunos provenientes de um bairro periurbano da cidade de Nampula, caracterizado por elevada densidade populacional, rendimento familiar baixo e acesso limitado a serviços de saúde mental. Não existe, na escola nem na cidade, qualquer diagnóstico sistemático do comportamento agressivo dos seus adolescentes nem dos factores que o acompanham. Sem esse diagnóstico, qualquer programa de prevenção assentaria em pressupostos importados e não na realidade dos alunos. Perante o exposto, formula-se a seguinte pergunta de partida:</w:t>
      </w:r>
    </w:p>
    <w:p>
      <w:pPr>
        <w:spacing w:line="360" w:lineRule="auto" w:after="120" w:before="0"/>
        <w:jc w:val="both"/>
      </w:pPr>
      <w:r>
        <w:rPr>
          <w:rFonts w:ascii="Times New Roman" w:hAnsi="Times New Roman" w:cs="Times New Roman" w:eastAsia="Times New Roman"/>
          <w:b w:val="0"/>
          <w:i w:val="0"/>
          <w:color w:val="000000"/>
          <w:sz w:val="24"/>
        </w:rPr>
        <w:t>«Quais são os factores psicossociais relacionados ao comportamento agressivo nos adolescentes dos 10 aos 19 anos da Escola Secundária de Muatala, na cidade de Nampula, no segundo semestre de 2026?»</w:t>
      </w:r>
    </w:p>
    <w:p>
      <w:pPr>
        <w:pStyle w:val="Heading2"/>
        <w:spacing w:line="360" w:lineRule="auto" w:after="120" w:before="120"/>
        <w:jc w:val="left"/>
      </w:pPr>
      <w:r>
        <w:rPr>
          <w:rFonts w:ascii="Times New Roman" w:hAnsi="Times New Roman" w:cs="Times New Roman" w:eastAsia="Times New Roman"/>
          <w:b/>
          <w:i w:val="0"/>
          <w:color w:val="000000"/>
          <w:sz w:val="24"/>
        </w:rPr>
        <w:t>2.1. Delimitação do problema</w:t>
      </w:r>
    </w:p>
    <w:p>
      <w:pPr>
        <w:spacing w:line="360" w:lineRule="auto" w:after="120" w:before="0"/>
        <w:jc w:val="both"/>
      </w:pPr>
      <w:r>
        <w:rPr>
          <w:rFonts w:ascii="Times New Roman" w:hAnsi="Times New Roman" w:cs="Times New Roman" w:eastAsia="Times New Roman"/>
          <w:b w:val="0"/>
          <w:i w:val="0"/>
          <w:color w:val="000000"/>
          <w:sz w:val="24"/>
        </w:rPr>
        <w:t>O estudo circunscreve-se aos adolescentes dos 10 aos 19 anos regularmente matriculados na Escola Secundária de Muatala, bairro de Muatala, cidade de Nampula, província de Nampula, no segundo semestre do ano lectivo de 2026. O objecto de estudo limita-se ao comportamento agressivo auto-relatado, nas suas dimensões física, verbal, de ira e de hostilidade, e nas suas formas reactiva e proactiva, e aos factores psicossociais dos níveis individual, familiar, escolar e do grupo de pares e comunitário que a literatura identifica como associados. Ficam fora do âmbito do estudo os comportamentos agressivos com indicação clínica de perturbação psiquiátrica major, a agressão praticada por adultos da escola e qualquer avaliação de eficácia de intervenções, que exigiria um desenho longitudinal ou experimental.</w:t>
      </w:r>
    </w:p>
    <w:p>
      <w:pPr>
        <w:pStyle w:val="Heading1"/>
        <w:spacing w:line="360" w:lineRule="auto" w:after="120" w:before="240"/>
        <w:jc w:val="left"/>
      </w:pPr>
      <w:r>
        <w:rPr>
          <w:rFonts w:ascii="Times New Roman" w:hAnsi="Times New Roman" w:cs="Times New Roman" w:eastAsia="Times New Roman"/>
          <w:b/>
          <w:i w:val="0"/>
          <w:color w:val="000000"/>
          <w:sz w:val="26"/>
        </w:rPr>
        <w:t>3. OBJECTIVOS</w:t>
      </w:r>
    </w:p>
    <w:p>
      <w:pPr>
        <w:pStyle w:val="Heading2"/>
        <w:spacing w:line="360" w:lineRule="auto" w:after="120" w:before="120"/>
        <w:jc w:val="left"/>
      </w:pPr>
      <w:r>
        <w:rPr>
          <w:rFonts w:ascii="Times New Roman" w:hAnsi="Times New Roman" w:cs="Times New Roman" w:eastAsia="Times New Roman"/>
          <w:b/>
          <w:i w:val="0"/>
          <w:color w:val="000000"/>
          <w:sz w:val="24"/>
        </w:rPr>
        <w:t>3.1. Objectivo geral</w:t>
      </w:r>
    </w:p>
    <w:p>
      <w:pPr>
        <w:pStyle w:val="ListBullet"/>
        <w:spacing w:line="360" w:lineRule="auto" w:after="60" w:before="0"/>
        <w:jc w:val="both"/>
      </w:pPr>
      <w:r>
        <w:rPr>
          <w:rFonts w:ascii="Times New Roman" w:hAnsi="Times New Roman" w:cs="Times New Roman" w:eastAsia="Times New Roman"/>
          <w:b w:val="0"/>
          <w:i w:val="0"/>
          <w:color w:val="000000"/>
          <w:sz w:val="24"/>
        </w:rPr>
        <w:t>Analisar os factores psicossociais relacionados ao comportamento agressivo em adolescentes dos 10 aos 19 anos da Escola Secundária de Muatala, cidade de Nampula, no segundo semestre de 2026.</w:t>
      </w:r>
    </w:p>
    <w:p>
      <w:pPr>
        <w:pStyle w:val="Heading2"/>
        <w:spacing w:line="360" w:lineRule="auto" w:after="120" w:before="120"/>
        <w:jc w:val="left"/>
      </w:pPr>
      <w:r>
        <w:rPr>
          <w:rFonts w:ascii="Times New Roman" w:hAnsi="Times New Roman" w:cs="Times New Roman" w:eastAsia="Times New Roman"/>
          <w:b/>
          <w:i w:val="0"/>
          <w:color w:val="000000"/>
          <w:sz w:val="24"/>
        </w:rPr>
        <w:t>3.2. Objectivos específicos</w:t>
      </w:r>
    </w:p>
    <w:p>
      <w:pPr>
        <w:pStyle w:val="ListBullet"/>
        <w:spacing w:line="360" w:lineRule="auto" w:after="60" w:before="0"/>
        <w:jc w:val="both"/>
      </w:pPr>
      <w:r>
        <w:rPr>
          <w:rFonts w:ascii="Times New Roman" w:hAnsi="Times New Roman" w:cs="Times New Roman" w:eastAsia="Times New Roman"/>
          <w:b w:val="0"/>
          <w:i w:val="0"/>
          <w:color w:val="000000"/>
          <w:sz w:val="24"/>
        </w:rPr>
        <w:t>Caracterizar o perfil sociodemográfico e escolar dos adolescentes dos 10 aos 19 anos da Escola Secundária de Muatala.</w:t>
      </w:r>
    </w:p>
    <w:p>
      <w:pPr>
        <w:pStyle w:val="ListBullet"/>
        <w:spacing w:line="360" w:lineRule="auto" w:after="60" w:before="0"/>
        <w:jc w:val="both"/>
      </w:pPr>
      <w:r>
        <w:rPr>
          <w:rFonts w:ascii="Times New Roman" w:hAnsi="Times New Roman" w:cs="Times New Roman" w:eastAsia="Times New Roman"/>
          <w:b w:val="0"/>
          <w:i w:val="0"/>
          <w:color w:val="000000"/>
          <w:sz w:val="24"/>
        </w:rPr>
        <w:t>Determinar o nível e o perfil do comportamento agressivo dos adolescentes, nas dimensões de agressão física, agressão verbal, ira e hostilidade, e nas formas reactiva e proactiva.</w:t>
      </w:r>
    </w:p>
    <w:p>
      <w:pPr>
        <w:pStyle w:val="ListBullet"/>
        <w:spacing w:line="360" w:lineRule="auto" w:after="60" w:before="0"/>
        <w:jc w:val="both"/>
      </w:pPr>
      <w:r>
        <w:rPr>
          <w:rFonts w:ascii="Times New Roman" w:hAnsi="Times New Roman" w:cs="Times New Roman" w:eastAsia="Times New Roman"/>
          <w:b w:val="0"/>
          <w:i w:val="0"/>
          <w:color w:val="000000"/>
          <w:sz w:val="24"/>
        </w:rPr>
        <w:t>Identificar os factores psicossociais do contexto familiar presentes nestes adolescentes, designadamente o funcionamento familiar, a supervisão parental, o castigo físico em casa e a exposição à violência entre os progenitores.</w:t>
      </w:r>
    </w:p>
    <w:p>
      <w:pPr>
        <w:pStyle w:val="ListBullet"/>
        <w:spacing w:line="360" w:lineRule="auto" w:after="60" w:before="0"/>
        <w:jc w:val="both"/>
      </w:pPr>
      <w:r>
        <w:rPr>
          <w:rFonts w:ascii="Times New Roman" w:hAnsi="Times New Roman" w:cs="Times New Roman" w:eastAsia="Times New Roman"/>
          <w:b w:val="0"/>
          <w:i w:val="0"/>
          <w:color w:val="000000"/>
          <w:sz w:val="24"/>
        </w:rPr>
        <w:t>Descrever os factores psicossociais do contexto escolar, do grupo de pares e da comunidade, incluindo a vitimização por bullying, a ligação à escola, a associação a pares desviantes, o consumo de substâncias psicoactivas e a exposição à violência comunitária.</w:t>
      </w:r>
    </w:p>
    <w:p>
      <w:pPr>
        <w:pStyle w:val="ListBullet"/>
        <w:spacing w:line="360" w:lineRule="auto" w:after="60" w:before="0"/>
        <w:jc w:val="both"/>
      </w:pPr>
      <w:r>
        <w:rPr>
          <w:rFonts w:ascii="Times New Roman" w:hAnsi="Times New Roman" w:cs="Times New Roman" w:eastAsia="Times New Roman"/>
          <w:b w:val="0"/>
          <w:i w:val="0"/>
          <w:color w:val="000000"/>
          <w:sz w:val="24"/>
        </w:rPr>
        <w:t>Analisar a associação entre os factores psicossociais estudados e o comportamento agressivo, identificando os factores que a ele se mantêm independentemente associados.</w:t>
      </w:r>
    </w:p>
    <w:p>
      <w:pPr>
        <w:pStyle w:val="Heading1"/>
        <w:spacing w:line="360" w:lineRule="auto" w:after="120" w:before="240"/>
        <w:jc w:val="left"/>
      </w:pPr>
      <w:r>
        <w:rPr>
          <w:rFonts w:ascii="Times New Roman" w:hAnsi="Times New Roman" w:cs="Times New Roman" w:eastAsia="Times New Roman"/>
          <w:b/>
          <w:i w:val="0"/>
          <w:color w:val="000000"/>
          <w:sz w:val="26"/>
        </w:rPr>
        <w:t>4. HIPÓTESES DE INVESTIGAÇÃO</w:t>
      </w:r>
    </w:p>
    <w:p>
      <w:pPr>
        <w:spacing w:line="360" w:lineRule="auto" w:after="120" w:before="0"/>
        <w:jc w:val="both"/>
      </w:pPr>
      <w:r>
        <w:rPr>
          <w:rFonts w:ascii="Times New Roman" w:hAnsi="Times New Roman" w:cs="Times New Roman" w:eastAsia="Times New Roman"/>
          <w:b w:val="0"/>
          <w:i w:val="0"/>
          <w:color w:val="000000"/>
          <w:sz w:val="24"/>
        </w:rPr>
        <w:t>Sendo o desenho analítico, formulam-se hipóteses direccionadas, que serão testadas na análise inferencial descrita na metodologia.</w:t>
      </w:r>
    </w:p>
    <w:p>
      <w:pPr>
        <w:spacing w:line="360" w:lineRule="auto" w:after="120" w:before="0"/>
        <w:jc w:val="both"/>
      </w:pPr>
      <w:r>
        <w:rPr>
          <w:rFonts w:ascii="Times New Roman" w:hAnsi="Times New Roman" w:cs="Times New Roman" w:eastAsia="Times New Roman"/>
          <w:b w:val="0"/>
          <w:i w:val="0"/>
          <w:color w:val="000000"/>
          <w:sz w:val="24"/>
        </w:rPr>
        <w:t>Hipótese nula (H0): não existe associação estatisticamente significativa entre os factores psicossociais estudados, dos níveis individual, familiar, escolar e do grupo de pares e comunitário, e o nível de comportamento agressivo dos adolescentes dos 10 aos 19 anos da Escola Secundária de Muatala.</w:t>
      </w:r>
    </w:p>
    <w:p>
      <w:pPr>
        <w:spacing w:line="360" w:lineRule="auto" w:after="120" w:before="0"/>
        <w:jc w:val="both"/>
      </w:pPr>
      <w:r>
        <w:rPr>
          <w:rFonts w:ascii="Times New Roman" w:hAnsi="Times New Roman" w:cs="Times New Roman" w:eastAsia="Times New Roman"/>
          <w:b w:val="0"/>
          <w:i w:val="0"/>
          <w:color w:val="000000"/>
          <w:sz w:val="24"/>
        </w:rPr>
        <w:t>Hipótese alternativa (H1): existe associação estatisticamente significativa entre os factores psicossociais estudados e o nível de comportamento agressivo destes adolescentes, apresentando os que foram expostos a castigo físico em casa, a violência entre os progenitores, a vitimização por bullying, a pares desviantes ou ao consumo de substâncias psicoactivas pontuações de agressividade mais elevadas.</w:t>
      </w:r>
    </w:p>
    <w:p>
      <w:pPr>
        <w:spacing w:line="360" w:lineRule="auto" w:after="120" w:before="0"/>
        <w:jc w:val="both"/>
      </w:pPr>
      <w:r>
        <w:rPr>
          <w:rFonts w:ascii="Times New Roman" w:hAnsi="Times New Roman" w:cs="Times New Roman" w:eastAsia="Times New Roman"/>
          <w:b w:val="0"/>
          <w:i w:val="0"/>
          <w:color w:val="000000"/>
          <w:sz w:val="24"/>
        </w:rPr>
        <w:t>Subordinadas a estas, testam-se ainda as hipóteses operacionais de que a pontuação total de agressividade é superior nos rapazes, aumenta com o número de experiências adversas acumuladas e diminui à medida que aumentam o funcionamento familiar e a ligação à escola (18,19,24).</w:t>
      </w:r>
    </w:p>
    <w:p>
      <w:pPr>
        <w:pStyle w:val="Heading1"/>
        <w:spacing w:line="360" w:lineRule="auto" w:after="120" w:before="240"/>
        <w:jc w:val="left"/>
      </w:pPr>
      <w:r>
        <w:rPr>
          <w:rFonts w:ascii="Times New Roman" w:hAnsi="Times New Roman" w:cs="Times New Roman" w:eastAsia="Times New Roman"/>
          <w:b/>
          <w:i w:val="0"/>
          <w:color w:val="000000"/>
          <w:sz w:val="26"/>
        </w:rPr>
        <w:t>5. JUSTIFICATIVA</w:t>
      </w:r>
    </w:p>
    <w:p>
      <w:pPr>
        <w:spacing w:line="360" w:lineRule="auto" w:after="120" w:before="0"/>
        <w:jc w:val="both"/>
      </w:pPr>
      <w:r>
        <w:rPr>
          <w:rFonts w:ascii="Times New Roman" w:hAnsi="Times New Roman" w:cs="Times New Roman" w:eastAsia="Times New Roman"/>
          <w:b w:val="0"/>
          <w:i w:val="0"/>
          <w:color w:val="000000"/>
          <w:sz w:val="24"/>
        </w:rPr>
        <w:t>A escolha deste tema justifica-se pela necessidade de compreender, com dados locais e instrumentos validados, um fenómeno que a escola vive quotidianamente mas que nunca foi medido. A pertinência do estudo articula-se em quatro dimensões complementares.</w:t>
      </w:r>
    </w:p>
    <w:p>
      <w:pPr>
        <w:pStyle w:val="Heading3"/>
        <w:spacing w:line="360" w:lineRule="auto" w:after="120" w:before="120"/>
        <w:jc w:val="left"/>
      </w:pPr>
      <w:r>
        <w:rPr>
          <w:rFonts w:ascii="Times New Roman" w:hAnsi="Times New Roman" w:cs="Times New Roman" w:eastAsia="Times New Roman"/>
          <w:b w:val="0"/>
          <w:i w:val="0"/>
          <w:color w:val="000000"/>
          <w:sz w:val="24"/>
        </w:rPr>
        <w:t>5.1. Relevância científica</w:t>
      </w:r>
    </w:p>
    <w:p>
      <w:pPr>
        <w:spacing w:line="360" w:lineRule="auto" w:after="120" w:before="0"/>
        <w:jc w:val="both"/>
      </w:pPr>
      <w:r>
        <w:rPr>
          <w:rFonts w:ascii="Times New Roman" w:hAnsi="Times New Roman" w:cs="Times New Roman" w:eastAsia="Times New Roman"/>
          <w:b w:val="0"/>
          <w:i w:val="0"/>
          <w:color w:val="000000"/>
          <w:sz w:val="24"/>
        </w:rPr>
        <w:t>A investigação sobre agressividade em adolescentes moçambicanos é escassa e, quando existe, recorre a indicadores comportamentais isolados, como o envolvimento em lutas, e não a escalas psicométricas com propriedades conhecidas. Ao aplicar a forma reduzida do Questionário de Agressividade de Buss e Perry e o Questionário de Agressão Reactiva e Proactiva, ambos com versão portuguesa validada, o estudo produz medidas comparáveis com a literatura internacional e contribui com dados sobre o comportamento psicométrico destes instrumentos num contexto africano de língua portuguesa (25,26).</w:t>
      </w:r>
    </w:p>
    <w:p>
      <w:pPr>
        <w:pStyle w:val="Heading3"/>
        <w:spacing w:line="360" w:lineRule="auto" w:after="120" w:before="120"/>
        <w:jc w:val="left"/>
      </w:pPr>
      <w:r>
        <w:rPr>
          <w:rFonts w:ascii="Times New Roman" w:hAnsi="Times New Roman" w:cs="Times New Roman" w:eastAsia="Times New Roman"/>
          <w:b w:val="0"/>
          <w:i w:val="0"/>
          <w:color w:val="000000"/>
          <w:sz w:val="24"/>
        </w:rPr>
        <w:t>5.2. Relevância académica</w:t>
      </w:r>
    </w:p>
    <w:p>
      <w:pPr>
        <w:spacing w:line="360" w:lineRule="auto" w:after="120" w:before="0"/>
        <w:jc w:val="both"/>
      </w:pPr>
      <w:r>
        <w:rPr>
          <w:rFonts w:ascii="Times New Roman" w:hAnsi="Times New Roman" w:cs="Times New Roman" w:eastAsia="Times New Roman"/>
          <w:b w:val="0"/>
          <w:i w:val="0"/>
          <w:color w:val="000000"/>
          <w:sz w:val="24"/>
        </w:rPr>
        <w:t>O trabalho responde a uma lacuna de conhecimento identificada na revisão da literatura e constitui uma base metodológica replicável noutras escolas da província de Nampula. Para o curso de Psicologia, oferece ainda um exercício completo de investigação quantitativa, da adaptação transcultural de instrumentos à modelação multivariável, e material didáctico para a formação em psicologia escolar e comunitária.</w:t>
      </w:r>
    </w:p>
    <w:p>
      <w:pPr>
        <w:pStyle w:val="Heading3"/>
        <w:spacing w:line="360" w:lineRule="auto" w:after="120" w:before="120"/>
        <w:jc w:val="left"/>
      </w:pPr>
      <w:r>
        <w:rPr>
          <w:rFonts w:ascii="Times New Roman" w:hAnsi="Times New Roman" w:cs="Times New Roman" w:eastAsia="Times New Roman"/>
          <w:b w:val="0"/>
          <w:i w:val="0"/>
          <w:color w:val="000000"/>
          <w:sz w:val="24"/>
        </w:rPr>
        <w:t>5.3. Relevância social</w:t>
      </w:r>
    </w:p>
    <w:p>
      <w:pPr>
        <w:spacing w:line="360" w:lineRule="auto" w:after="120" w:before="0"/>
        <w:jc w:val="both"/>
      </w:pPr>
      <w:r>
        <w:rPr>
          <w:rFonts w:ascii="Times New Roman" w:hAnsi="Times New Roman" w:cs="Times New Roman" w:eastAsia="Times New Roman"/>
          <w:b w:val="0"/>
          <w:i w:val="0"/>
          <w:color w:val="000000"/>
          <w:sz w:val="24"/>
        </w:rPr>
        <w:t>O comportamento agressivo afecta directamente o percurso escolar e o bem-estar dos adolescentes, dos seus colegas e das famílias. Identificar os factores que o acompanham permite desenhar respostas que actuem sobre as causas e não apenas sobre as manifestações, beneficiando de imediato a comunidade escolar de Muatala. Num contexto em que apenas uma minoria dos adolescentes com sofrimento mental procura ajuda, a escola surge como porta de entrada privilegiada para a detecção e o encaminhamento (13).</w:t>
      </w:r>
    </w:p>
    <w:p>
      <w:pPr>
        <w:pStyle w:val="Heading3"/>
        <w:spacing w:line="360" w:lineRule="auto" w:after="120" w:before="120"/>
        <w:jc w:val="left"/>
      </w:pPr>
      <w:r>
        <w:rPr>
          <w:rFonts w:ascii="Times New Roman" w:hAnsi="Times New Roman" w:cs="Times New Roman" w:eastAsia="Times New Roman"/>
          <w:b w:val="0"/>
          <w:i w:val="0"/>
          <w:color w:val="000000"/>
          <w:sz w:val="24"/>
        </w:rPr>
        <w:t>5.4. Relevância política</w:t>
      </w:r>
    </w:p>
    <w:p>
      <w:pPr>
        <w:spacing w:line="360" w:lineRule="auto" w:after="120" w:before="0"/>
        <w:jc w:val="both"/>
      </w:pPr>
      <w:r>
        <w:rPr>
          <w:rFonts w:ascii="Times New Roman" w:hAnsi="Times New Roman" w:cs="Times New Roman" w:eastAsia="Times New Roman"/>
          <w:b w:val="0"/>
          <w:i w:val="0"/>
          <w:color w:val="000000"/>
          <w:sz w:val="24"/>
        </w:rPr>
        <w:t>Os resultados fornecem evidência local para as políticas de protecção da criança e do adolescente conduzidas pelo Ministério da Educação e Desenvolvimento Humano (MINEDH) e pelo Ministério da Saúde (MISAU), e permitem alinhar a acção da escola com as estratégias INSPIRE recomendadas pela OMS, em particular as que dizem respeito à educação parental, aos ambientes escolares seguros e às competências socioemocionais (16,17).</w:t>
      </w:r>
    </w:p>
    <w:p>
      <w:pPr>
        <w:pStyle w:val="Heading1"/>
        <w:spacing w:line="360" w:lineRule="auto" w:after="120" w:before="240"/>
        <w:jc w:val="left"/>
      </w:pPr>
      <w:r>
        <w:rPr>
          <w:rFonts w:ascii="Times New Roman" w:hAnsi="Times New Roman" w:cs="Times New Roman" w:eastAsia="Times New Roman"/>
          <w:b/>
          <w:i w:val="0"/>
          <w:color w:val="000000"/>
          <w:sz w:val="26"/>
        </w:rPr>
        <w:t>6. REVISÃO DA LITERATURA</w:t>
      </w:r>
    </w:p>
    <w:p>
      <w:pPr>
        <w:pStyle w:val="Heading2"/>
        <w:spacing w:line="360" w:lineRule="auto" w:after="120" w:before="120"/>
        <w:jc w:val="left"/>
      </w:pPr>
      <w:r>
        <w:rPr>
          <w:rFonts w:ascii="Times New Roman" w:hAnsi="Times New Roman" w:cs="Times New Roman" w:eastAsia="Times New Roman"/>
          <w:b/>
          <w:i w:val="0"/>
          <w:color w:val="000000"/>
          <w:sz w:val="24"/>
        </w:rPr>
        <w:t>6.1. A adolescência como período crítico do desenvolvimento</w:t>
      </w:r>
    </w:p>
    <w:p>
      <w:pPr>
        <w:spacing w:line="360" w:lineRule="auto" w:after="120" w:before="0"/>
        <w:jc w:val="both"/>
      </w:pPr>
      <w:r>
        <w:rPr>
          <w:rFonts w:ascii="Times New Roman" w:hAnsi="Times New Roman" w:cs="Times New Roman" w:eastAsia="Times New Roman"/>
          <w:b w:val="0"/>
          <w:i w:val="0"/>
          <w:color w:val="000000"/>
          <w:sz w:val="24"/>
        </w:rPr>
        <w:t>A OMS define a adolescência como o período compreendido entre os 10 e os 19 anos, subdividido em adolescência inicial, dos 10 aos 14 anos, e adolescência tardia, dos 15 aos 19 anos (1). É uma fase de reorganização biológica, cognitiva e social, marcada pela maturação assíncrona entre os sistemas cerebrais de recompensa, que amadurecem cedo, e os sistemas de controlo executivo, que amadurecem mais tarde. Esta assincronia ajuda a explicar a maior propensão para a tomada de risco e para as respostas impulsivas nesta idade. Metade das perturbações mentais que persistem na vida adulta manifesta-se antes dos 14 anos e três quartos antes dos 25, o que faz da adolescência a janela mais rentável para a prevenção (27).</w:t>
      </w:r>
    </w:p>
    <w:p>
      <w:pPr>
        <w:pStyle w:val="Heading2"/>
        <w:spacing w:line="360" w:lineRule="auto" w:after="120" w:before="120"/>
        <w:jc w:val="left"/>
      </w:pPr>
      <w:r>
        <w:rPr>
          <w:rFonts w:ascii="Times New Roman" w:hAnsi="Times New Roman" w:cs="Times New Roman" w:eastAsia="Times New Roman"/>
          <w:b/>
          <w:i w:val="0"/>
          <w:color w:val="000000"/>
          <w:sz w:val="24"/>
        </w:rPr>
        <w:t>6.2. Comportamento agressivo: conceito, dimensões e distinção de violência</w:t>
      </w:r>
    </w:p>
    <w:p>
      <w:pPr>
        <w:spacing w:line="360" w:lineRule="auto" w:after="120" w:before="0"/>
        <w:jc w:val="both"/>
      </w:pPr>
      <w:r>
        <w:rPr>
          <w:rFonts w:ascii="Times New Roman" w:hAnsi="Times New Roman" w:cs="Times New Roman" w:eastAsia="Times New Roman"/>
          <w:b w:val="0"/>
          <w:i w:val="0"/>
          <w:color w:val="000000"/>
          <w:sz w:val="24"/>
        </w:rPr>
        <w:t>Entende-se por comportamento agressivo qualquer conduta dirigida a outro indivíduo com a intenção de lhe causar dano, físico ou psicológico. A violência é uma forma extrema de agressão, definida pela OMS como o uso intencional da força física ou do poder que resulta ou tem elevada probabilidade de resultar em lesão, morte, dano psicológico ou privação (3). Nem toda a agressão é violência, mas toda a violência é agressão.</w:t>
      </w:r>
    </w:p>
    <w:p>
      <w:pPr>
        <w:spacing w:line="360" w:lineRule="auto" w:after="120" w:before="0"/>
        <w:jc w:val="both"/>
      </w:pPr>
      <w:r>
        <w:rPr>
          <w:rFonts w:ascii="Times New Roman" w:hAnsi="Times New Roman" w:cs="Times New Roman" w:eastAsia="Times New Roman"/>
          <w:b w:val="0"/>
          <w:i w:val="0"/>
          <w:color w:val="000000"/>
          <w:sz w:val="24"/>
        </w:rPr>
        <w:t>O modelo de Buss e Perry decompõe a agressividade em quatro dimensões: a agressão física e a agressão verbal, que constituem a componente instrumental ou motora; a ira, que corresponde à activação emocional e fisiológica; e a hostilidade, que representa a componente cognitiva, feita de ressentimento e de desconfiança (4). A esta estrutura sobrepõe-se a distinção funcional entre a agressão reactiva, impulsiva e defensiva, desencadeada por uma provocação percebida e acompanhada de activação emocional intensa, e a agressão proactiva, instrumental, planeada e dirigida à obtenção de um ganho, mais associada a traços de insensibilidade emocional (5). A distinção tem consequências práticas, porque as duas formas respondem a intervenções diferentes: a reactiva beneficia sobretudo do treino de regulação emocional e a proactiva de estratégias que alterem as contingências de reforço (28,29).</w:t>
      </w:r>
    </w:p>
    <w:p>
      <w:pPr>
        <w:pStyle w:val="Heading2"/>
        <w:spacing w:line="360" w:lineRule="auto" w:after="120" w:before="120"/>
        <w:jc w:val="left"/>
      </w:pPr>
      <w:r>
        <w:rPr>
          <w:rFonts w:ascii="Times New Roman" w:hAnsi="Times New Roman" w:cs="Times New Roman" w:eastAsia="Times New Roman"/>
          <w:b/>
          <w:i w:val="0"/>
          <w:color w:val="000000"/>
          <w:sz w:val="24"/>
        </w:rPr>
        <w:t>6.3. Modelos teóricos explicativos</w:t>
      </w:r>
    </w:p>
    <w:p>
      <w:pPr>
        <w:spacing w:line="360" w:lineRule="auto" w:after="120" w:before="0"/>
        <w:jc w:val="both"/>
      </w:pPr>
      <w:r>
        <w:rPr>
          <w:rFonts w:ascii="Times New Roman" w:hAnsi="Times New Roman" w:cs="Times New Roman" w:eastAsia="Times New Roman"/>
          <w:b w:val="0"/>
          <w:i w:val="0"/>
          <w:color w:val="000000"/>
          <w:sz w:val="24"/>
        </w:rPr>
        <w:t>A teoria da aprendizagem social sustenta que a agressão é, em larga medida, aprendida por observação. Os trabalhos clássicos de Bandura demonstraram que as crianças reproduzem condutas agressivas observadas em modelos adultos, sobretudo quando esses modelos não são punidos ou são recompensados pelo seu comportamento (15). Daqui decorre a expectativa, largamente confirmada, de que o castigo físico e a violência testemunhada em casa aumentem a agressividade da criança, em vez de a reduzirem (18).</w:t>
      </w:r>
    </w:p>
    <w:p>
      <w:pPr>
        <w:spacing w:line="360" w:lineRule="auto" w:after="120" w:before="0"/>
        <w:jc w:val="both"/>
      </w:pPr>
      <w:r>
        <w:rPr>
          <w:rFonts w:ascii="Times New Roman" w:hAnsi="Times New Roman" w:cs="Times New Roman" w:eastAsia="Times New Roman"/>
          <w:b w:val="0"/>
          <w:i w:val="0"/>
          <w:color w:val="000000"/>
          <w:sz w:val="24"/>
        </w:rPr>
        <w:t>O modelo ecológico adoptado pela OMS organiza os determinantes da violência em quatro níveis interdependentes: o individual, que reúne características biológicas e da história pessoal; o relacional, que abrange a família e o grupo de pares; o comunitário, que corresponde aos contextos de vida como a escola e o bairro; e o social, que integra as normas culturais e as políticas públicas (3). Este modelo estrutura o esquema conceptual do presente estudo e justifica a inclusão simultânea de variáveis dos vários níveis na análise multivariável.</w:t>
      </w:r>
    </w:p>
    <w:p>
      <w:pPr>
        <w:spacing w:line="360" w:lineRule="auto" w:after="120" w:before="0"/>
        <w:jc w:val="both"/>
      </w:pPr>
      <w:r>
        <w:rPr>
          <w:rFonts w:ascii="Times New Roman" w:hAnsi="Times New Roman" w:cs="Times New Roman" w:eastAsia="Times New Roman"/>
          <w:b w:val="0"/>
          <w:i w:val="0"/>
          <w:color w:val="000000"/>
          <w:sz w:val="24"/>
        </w:rPr>
        <w:t>O modelo do processamento da informação social completa esta leitura no plano cognitivo. Os adolescentes com elevada agressividade reactiva tendem a interpretar como hostis as intenções alheias em situações ambíguas, um enviesamento de atribuição hostil que se associa de forma consistente à agressividade e que é mais frequente em jovens com vinculação insegura (30).</w:t>
      </w:r>
    </w:p>
    <w:p>
      <w:pPr>
        <w:pStyle w:val="Heading2"/>
        <w:spacing w:line="360" w:lineRule="auto" w:after="120" w:before="120"/>
        <w:jc w:val="left"/>
      </w:pPr>
      <w:r>
        <w:rPr>
          <w:rFonts w:ascii="Times New Roman" w:hAnsi="Times New Roman" w:cs="Times New Roman" w:eastAsia="Times New Roman"/>
          <w:b/>
          <w:i w:val="0"/>
          <w:color w:val="000000"/>
          <w:sz w:val="24"/>
        </w:rPr>
        <w:t>6.4. Magnitude do comportamento agressivo no adolescente</w:t>
      </w:r>
    </w:p>
    <w:p>
      <w:pPr>
        <w:spacing w:line="360" w:lineRule="auto" w:after="120" w:before="0"/>
        <w:jc w:val="both"/>
      </w:pPr>
      <w:r>
        <w:rPr>
          <w:rFonts w:ascii="Times New Roman" w:hAnsi="Times New Roman" w:cs="Times New Roman" w:eastAsia="Times New Roman"/>
          <w:b w:val="0"/>
          <w:i w:val="0"/>
          <w:color w:val="000000"/>
          <w:sz w:val="24"/>
        </w:rPr>
        <w:t>A prevalência é elevada e transversal aos continentes. Nos 68 países de baixo e médio rendimento analisados a partir dos inquéritos globais de saúde escolar, 36,4 por cento dos adolescentes dos 12 aos 15 anos envolveram-se em lutas físicas e 35,6 por cento sofreram agressão física nos doze meses anteriores, com valores muito superiores nos rapazes, 45,5 por cento contra 26,9 por cento nas raparigas, no caso das lutas (7). Na África subsariana, a análise agrupada de oito países estimou a prevalência de violência interpessoal em 53,7 por cento e identificou como preditores a vitimização por bullying, o absentismo escolar e o consumo de álcool e de tabaco, enquanto o apoio dos pares e a ligação parental funcionaram como factores protectores (8).</w:t>
      </w:r>
    </w:p>
    <w:p>
      <w:pPr>
        <w:spacing w:line="360" w:lineRule="auto" w:after="120" w:before="0"/>
        <w:jc w:val="both"/>
      </w:pPr>
      <w:r>
        <w:rPr>
          <w:rFonts w:ascii="Times New Roman" w:hAnsi="Times New Roman" w:cs="Times New Roman" w:eastAsia="Times New Roman"/>
          <w:b w:val="0"/>
          <w:i w:val="0"/>
          <w:color w:val="000000"/>
          <w:sz w:val="24"/>
        </w:rPr>
        <w:t>Os estudos africanos de base escolar confirmam o padrão. Na Etiópia e no Egipto, a vitimização por bullying associou-se ao sexo masculino, ao consumo de substâncias e à disfunção familiar (31,32). No Malawi, 42,4 por cento das raparigas e 36,4 por cento dos rapazes relataram castigo físico na escola, e essa exposição associou-se a problemas de externalização (33). Em quatro países de baixos recursos, a vitimização por bullying mostrou-se associada a pior funcionamento emocional e escolar (34). Na Nigéria, a adversidade vivida na infância predisse a perpetração de bullying, com mediação pela influência dos pares (35).</w:t>
      </w:r>
    </w:p>
    <w:p>
      <w:pPr>
        <w:pStyle w:val="Heading2"/>
        <w:spacing w:line="360" w:lineRule="auto" w:after="120" w:before="120"/>
        <w:jc w:val="left"/>
      </w:pPr>
      <w:r>
        <w:rPr>
          <w:rFonts w:ascii="Times New Roman" w:hAnsi="Times New Roman" w:cs="Times New Roman" w:eastAsia="Times New Roman"/>
          <w:b/>
          <w:i w:val="0"/>
          <w:color w:val="000000"/>
          <w:sz w:val="24"/>
        </w:rPr>
        <w:t>6.5. Factores psicossociais do contexto familiar</w:t>
      </w:r>
    </w:p>
    <w:p>
      <w:pPr>
        <w:spacing w:line="360" w:lineRule="auto" w:after="120" w:before="0"/>
        <w:jc w:val="both"/>
      </w:pPr>
      <w:r>
        <w:rPr>
          <w:rFonts w:ascii="Times New Roman" w:hAnsi="Times New Roman" w:cs="Times New Roman" w:eastAsia="Times New Roman"/>
          <w:b w:val="0"/>
          <w:i w:val="0"/>
          <w:color w:val="000000"/>
          <w:sz w:val="24"/>
        </w:rPr>
        <w:t>A família é o primeiro contexto de aprendizagem da regulação emocional e do relacionamento. A meta-análise de 75 estudos, abrangendo mais de 160 mil crianças, concluiu que o castigo físico se associa a maior agressividade, a mais problemas de comportamento e a pior saúde mental, sem qualquer benefício documentado em termos de obediência a longo prazo (18). Ao nível populacional, o estudo ecológico de 88 países mostrou que os países com proibição total do castigo corporal, na escola e em casa, apresentam 69 por cento da taxa de lutas frequentes nos rapazes e 42 por cento nas raparigas, quando comparados com os países sem qualquer proibição (36).</w:t>
      </w:r>
    </w:p>
    <w:p>
      <w:pPr>
        <w:spacing w:line="360" w:lineRule="auto" w:after="120" w:before="0"/>
        <w:jc w:val="both"/>
      </w:pPr>
      <w:r>
        <w:rPr>
          <w:rFonts w:ascii="Times New Roman" w:hAnsi="Times New Roman" w:cs="Times New Roman" w:eastAsia="Times New Roman"/>
          <w:b w:val="0"/>
          <w:i w:val="0"/>
          <w:color w:val="000000"/>
          <w:sz w:val="24"/>
        </w:rPr>
        <w:t>Para além da punição, pesam a qualidade do funcionamento familiar e o estilo de parentalidade. Famílias com baixa coesão e comunicação deficitária associam-se a maior agressividade nos adolescentes (37), e o controlo psicológico parental, que substitui a supervisão pela manipulação afectiva, aumenta a agressividade por via da associação a pares desviantes (19). A ausência parental, por migração laboral, separação ou morte, é reconhecida como experiência adversa autónoma na África subsariana e associa-se a pior saúde mental e a maior risco de violência (38).</w:t>
      </w:r>
    </w:p>
    <w:p>
      <w:pPr>
        <w:spacing w:line="360" w:lineRule="auto" w:after="120" w:before="0"/>
        <w:jc w:val="both"/>
      </w:pPr>
      <w:r>
        <w:rPr>
          <w:rFonts w:ascii="Times New Roman" w:hAnsi="Times New Roman" w:cs="Times New Roman" w:eastAsia="Times New Roman"/>
          <w:b w:val="0"/>
          <w:i w:val="0"/>
          <w:color w:val="000000"/>
          <w:sz w:val="24"/>
        </w:rPr>
        <w:t>A acumulação de experiências adversas é particularmente relevante. Em adolescentes dos 10 aos 14 anos de catorze países, o número de experiências adversas relacionou-se de forma gradual com os sintomas depressivos e com a perpetração de violência (24). Na África subsariana, a análise dos inquéritos nacionais mostrou que as experiências adversas se associam a sofrimento mental, a consumo de substâncias e à perpetração de violência na idade adulta jovem (21), e em Dar es Salaam identificaram-se padrões específicos de adversidade que antecipam a perpetração de violência interpessoal (39). Em oito países de baixo e médio rendimento, os homens dos 18 aos 24 anos expostos a violência durante a infância apresentaram maior prevalência de perpetração de violência (40). A polivitimização, isto é, a exposição simultânea a várias formas de violência, agrava de forma consistente este risco (41).</w:t>
      </w:r>
    </w:p>
    <w:p>
      <w:pPr>
        <w:pStyle w:val="Heading2"/>
        <w:spacing w:line="360" w:lineRule="auto" w:after="120" w:before="120"/>
        <w:jc w:val="left"/>
      </w:pPr>
      <w:r>
        <w:rPr>
          <w:rFonts w:ascii="Times New Roman" w:hAnsi="Times New Roman" w:cs="Times New Roman" w:eastAsia="Times New Roman"/>
          <w:b/>
          <w:i w:val="0"/>
          <w:color w:val="000000"/>
          <w:sz w:val="24"/>
        </w:rPr>
        <w:t>6.6. Factores psicossociais do contexto escolar e do grupo de pares</w:t>
      </w:r>
    </w:p>
    <w:p>
      <w:pPr>
        <w:spacing w:line="360" w:lineRule="auto" w:after="120" w:before="0"/>
        <w:jc w:val="both"/>
      </w:pPr>
      <w:r>
        <w:rPr>
          <w:rFonts w:ascii="Times New Roman" w:hAnsi="Times New Roman" w:cs="Times New Roman" w:eastAsia="Times New Roman"/>
          <w:b w:val="0"/>
          <w:i w:val="0"/>
          <w:color w:val="000000"/>
          <w:sz w:val="24"/>
        </w:rPr>
        <w:t>A escola pode ser factor de protecção ou de risco. A ligação à escola, entendida como o sentimento de pertença e a percepção de apoio por parte dos professores, atenua o efeito dos factores familiares adversos sobre a agressividade (19). Em sentido contrário, a vitimização por bullying é um dos preditores mais robustos do comportamento agressivo, estabelecendo-se com frequência um ciclo em que a vítima se torna também agressora (8,9).</w:t>
      </w:r>
    </w:p>
    <w:p>
      <w:pPr>
        <w:spacing w:line="360" w:lineRule="auto" w:after="120" w:before="0"/>
        <w:jc w:val="both"/>
      </w:pPr>
      <w:r>
        <w:rPr>
          <w:rFonts w:ascii="Times New Roman" w:hAnsi="Times New Roman" w:cs="Times New Roman" w:eastAsia="Times New Roman"/>
          <w:b w:val="0"/>
          <w:i w:val="0"/>
          <w:color w:val="000000"/>
          <w:sz w:val="24"/>
        </w:rPr>
        <w:t>O grupo de pares assume, na adolescência, um papel normativo que rivaliza com o da família. A associação a pares desviantes prediz de forma prospectiva o aumento da agressividade, sobretudo nos adolescentes com menor autocontrolo (42), e medeia a relação entre a vitimização sofrida e os comportamentos problemáticos subsequentes, com a impulsividade a funcionar como moderador (20). Este conjunto de resultados sustenta a inclusão, no presente estudo, de indicadores de vitimização, de ligação à escola e de afiliação a pares desviantes.</w:t>
      </w:r>
    </w:p>
    <w:p>
      <w:pPr>
        <w:pStyle w:val="Heading2"/>
        <w:spacing w:line="360" w:lineRule="auto" w:after="120" w:before="120"/>
        <w:jc w:val="left"/>
      </w:pPr>
      <w:r>
        <w:rPr>
          <w:rFonts w:ascii="Times New Roman" w:hAnsi="Times New Roman" w:cs="Times New Roman" w:eastAsia="Times New Roman"/>
          <w:b/>
          <w:i w:val="0"/>
          <w:color w:val="000000"/>
          <w:sz w:val="24"/>
        </w:rPr>
        <w:t>6.7. Factores individuais e consumo de substâncias psicoactivas</w:t>
      </w:r>
    </w:p>
    <w:p>
      <w:pPr>
        <w:spacing w:line="360" w:lineRule="auto" w:after="120" w:before="0"/>
        <w:jc w:val="both"/>
      </w:pPr>
      <w:r>
        <w:rPr>
          <w:rFonts w:ascii="Times New Roman" w:hAnsi="Times New Roman" w:cs="Times New Roman" w:eastAsia="Times New Roman"/>
          <w:b w:val="0"/>
          <w:i w:val="0"/>
          <w:color w:val="000000"/>
          <w:sz w:val="24"/>
        </w:rPr>
        <w:t>O sexo masculino e a idade mais avançada dentro do intervalo adolescente associam-se sistematicamente a pontuações mais elevadas de agressão física (7). A baixa auto-estima, os sintomas depressivos e ansiosos e a impulsividade aparecem associados à ira e à hostilidade, tendo sido documentada, em adolescentes libaneses, a associação entre estas variáveis, a agressividade e o uso problemático da Internet (43).</w:t>
      </w:r>
    </w:p>
    <w:p>
      <w:pPr>
        <w:spacing w:line="360" w:lineRule="auto" w:after="120" w:before="0"/>
        <w:jc w:val="both"/>
      </w:pPr>
      <w:r>
        <w:rPr>
          <w:rFonts w:ascii="Times New Roman" w:hAnsi="Times New Roman" w:cs="Times New Roman" w:eastAsia="Times New Roman"/>
          <w:b w:val="0"/>
          <w:i w:val="0"/>
          <w:color w:val="000000"/>
          <w:sz w:val="24"/>
        </w:rPr>
        <w:t>O consumo de álcool e de outras substâncias merece destaque pela sua dupla condição de factor de risco e de consequência. Em 41 países de baixo e médio rendimento, o consumo de substâncias associou-se a sofrimento psicológico nos adolescentes escolarizados (44), e a análise dos inquéritos globais mostrou prevalências elevadas de consumo de álcool nesta faixa etária (45). Em contexto subsariano de baixo rendimento, o consumo associou-se a factores sociodemográficos identificáveis e a comportamentos de risco concomitantes (46). Em Moçambique, quase um terço dos jovens dos 13 aos 24 anos declarou consumir álcool (12).</w:t>
      </w:r>
    </w:p>
    <w:p>
      <w:pPr>
        <w:spacing w:line="360" w:lineRule="auto" w:after="120" w:before="0"/>
        <w:jc w:val="both"/>
      </w:pPr>
      <w:r>
        <w:rPr>
          <w:rFonts w:ascii="Times New Roman" w:hAnsi="Times New Roman" w:cs="Times New Roman" w:eastAsia="Times New Roman"/>
          <w:b w:val="0"/>
          <w:i w:val="0"/>
          <w:color w:val="000000"/>
          <w:sz w:val="24"/>
        </w:rPr>
        <w:t>A exposição a conteúdos violentos nos média e nos jogos electrónicos é um factor frequentemente invocado, mas de efeito controverso e de magnitude modesta, condicionado por variáveis de personalidade como o narcisismo e a auto-estima (47). Neste estudo será medida como variável de exposição, sem pressuposto de causalidade.</w:t>
      </w:r>
    </w:p>
    <w:p>
      <w:pPr>
        <w:pStyle w:val="Heading2"/>
        <w:spacing w:line="360" w:lineRule="auto" w:after="120" w:before="120"/>
        <w:jc w:val="left"/>
      </w:pPr>
      <w:r>
        <w:rPr>
          <w:rFonts w:ascii="Times New Roman" w:hAnsi="Times New Roman" w:cs="Times New Roman" w:eastAsia="Times New Roman"/>
          <w:b/>
          <w:i w:val="0"/>
          <w:color w:val="000000"/>
          <w:sz w:val="24"/>
        </w:rPr>
        <w:t>6.8. Factores comunitários e socioculturais</w:t>
      </w:r>
    </w:p>
    <w:p>
      <w:pPr>
        <w:spacing w:line="360" w:lineRule="auto" w:after="120" w:before="0"/>
        <w:jc w:val="both"/>
      </w:pPr>
      <w:r>
        <w:rPr>
          <w:rFonts w:ascii="Times New Roman" w:hAnsi="Times New Roman" w:cs="Times New Roman" w:eastAsia="Times New Roman"/>
          <w:b w:val="0"/>
          <w:i w:val="0"/>
          <w:color w:val="000000"/>
          <w:sz w:val="24"/>
        </w:rPr>
        <w:t>A exposição à violência na comunidade normaliza a agressão como forma legítima de resolução de conflitos. Em Moçambique, 45,9 por cento das raparigas e 66,7 por cento dos rapazes dos 18 aos 24 anos testemunharam violência na comunidade antes dos 18 anos, e cerca de um terço dos adolescentes dos 13 aos 17 anos presenciou episódios semelhantes nos doze meses anteriores ao inquérito (10). A investigação a nível continental mostrou ainda que a memória histórica da violência política se associa a maiores níveis de violência interpessoal contra crianças e jovens nas zonas afectadas (23), um aspecto com particular pertinência no contexto moçambicano (14). A pobreza do agregado, as normas de género que toleram a agressividade masculina e a disponibilidade de álcool completam o quadro dos determinantes distais (3,11).</w:t>
      </w:r>
    </w:p>
    <w:p>
      <w:pPr>
        <w:pStyle w:val="Heading2"/>
        <w:spacing w:line="360" w:lineRule="auto" w:after="120" w:before="120"/>
        <w:jc w:val="left"/>
      </w:pPr>
      <w:r>
        <w:rPr>
          <w:rFonts w:ascii="Times New Roman" w:hAnsi="Times New Roman" w:cs="Times New Roman" w:eastAsia="Times New Roman"/>
          <w:b/>
          <w:i w:val="0"/>
          <w:color w:val="000000"/>
          <w:sz w:val="24"/>
        </w:rPr>
        <w:t>6.9. Consequências e estratégias de prevenção</w:t>
      </w:r>
    </w:p>
    <w:p>
      <w:pPr>
        <w:spacing w:line="360" w:lineRule="auto" w:after="120" w:before="0"/>
        <w:jc w:val="both"/>
      </w:pPr>
      <w:r>
        <w:rPr>
          <w:rFonts w:ascii="Times New Roman" w:hAnsi="Times New Roman" w:cs="Times New Roman" w:eastAsia="Times New Roman"/>
          <w:b w:val="0"/>
          <w:i w:val="0"/>
          <w:color w:val="000000"/>
          <w:sz w:val="24"/>
        </w:rPr>
        <w:t>A agressividade persistente na adolescência associa-se a insucesso e abandono escolar, a perturbações do comportamento, a consumo de substâncias, a envolvimento com a justiça e a pior saúde mental na idade adulta (2,29). As intervenções com evidência de eficácia são de natureza psicossocial e não farmacológica: o treino de competências de resolução de problemas, a reestruturação cognitiva e o treino parental reduzem de forma consistente a ira, a irritabilidade e a agressão em crianças e adolescentes (28). No plano das políticas, o pacote INSPIRE da OMS reúne sete estratégias, entre as quais a aplicação da lei, as normas e valores, os ambientes seguros, o apoio aos pais e cuidadores e o desenvolvimento de competências para a vida (17), cuja implementação é monitorizada no relatório global sobre a prevenção da violência contra as crianças (16).</w:t>
      </w:r>
    </w:p>
    <w:p>
      <w:pPr>
        <w:pStyle w:val="Heading2"/>
        <w:spacing w:line="360" w:lineRule="auto" w:after="120" w:before="120"/>
        <w:jc w:val="left"/>
      </w:pPr>
      <w:r>
        <w:rPr>
          <w:rFonts w:ascii="Times New Roman" w:hAnsi="Times New Roman" w:cs="Times New Roman" w:eastAsia="Times New Roman"/>
          <w:b/>
          <w:i w:val="0"/>
          <w:color w:val="000000"/>
          <w:sz w:val="24"/>
        </w:rPr>
        <w:t>6.10. Instrumentos de avaliação</w:t>
      </w:r>
    </w:p>
    <w:p>
      <w:pPr>
        <w:spacing w:line="360" w:lineRule="auto" w:after="120" w:before="0"/>
        <w:jc w:val="both"/>
      </w:pPr>
      <w:r>
        <w:rPr>
          <w:rFonts w:ascii="Times New Roman" w:hAnsi="Times New Roman" w:cs="Times New Roman" w:eastAsia="Times New Roman"/>
          <w:b w:val="0"/>
          <w:i w:val="0"/>
          <w:color w:val="000000"/>
          <w:sz w:val="24"/>
        </w:rPr>
        <w:t>O Questionário de Agressividade de Buss e Perry é o instrumento de auto-relato mais utilizado na avaliação da agressividade, na sua versão original de 29 itens e na forma reduzida de 12 itens, que preserva a estrutura de quatro factores e apresenta propriedades psicométricas adequadas na população juvenil portuguesa (4,25). O Questionário de Agressão Reactiva e Proactiva, com 23 itens, permite separar as duas formas funcionais de agressão, tem validação portuguesa e validação transcultural em amostras de vários continentes (5,26,48).</w:t>
      </w:r>
    </w:p>
    <w:p>
      <w:pPr>
        <w:spacing w:line="360" w:lineRule="auto" w:after="120" w:before="0"/>
        <w:jc w:val="both"/>
      </w:pPr>
      <w:r>
        <w:rPr>
          <w:rFonts w:ascii="Times New Roman" w:hAnsi="Times New Roman" w:cs="Times New Roman" w:eastAsia="Times New Roman"/>
          <w:b w:val="0"/>
          <w:i w:val="0"/>
          <w:color w:val="000000"/>
          <w:sz w:val="24"/>
        </w:rPr>
        <w:t>Para os factores psicossociais recorre-se a instrumentos igualmente consolidados: o APGAR familiar, com cinco itens, avalia a percepção do funcionamento familiar nas dimensões de adaptação, participação, crescimento, afecto e resolução (49); o questionário internacional de experiências adversas na infância da OMS fornece itens padronizados sobre castigo físico, violência testemunhada e negligência (50); o inquérito global de saúde escolar disponibiliza módulos validados sobre bullying, lutas físicas, supervisão parental e consumo de substâncias, o que permite a comparação directa com os dados de outros países africanos (51); e a subescala de sintomas emocionais do Questionário de Capacidades e de Dificuldades avalia a componente internalizante do sofrimento psicológico (52).</w:t>
      </w:r>
    </w:p>
    <w:p>
      <w:pPr>
        <w:pStyle w:val="Heading2"/>
        <w:spacing w:line="360" w:lineRule="auto" w:after="120" w:before="120"/>
        <w:jc w:val="left"/>
      </w:pPr>
      <w:r>
        <w:rPr>
          <w:rFonts w:ascii="Times New Roman" w:hAnsi="Times New Roman" w:cs="Times New Roman" w:eastAsia="Times New Roman"/>
          <w:b/>
          <w:i w:val="0"/>
          <w:color w:val="000000"/>
          <w:sz w:val="24"/>
        </w:rPr>
        <w:t>6.11. Estado da arte</w:t>
      </w:r>
    </w:p>
    <w:p>
      <w:pPr>
        <w:spacing w:line="360" w:lineRule="auto" w:after="120" w:before="0"/>
        <w:jc w:val="both"/>
      </w:pPr>
      <w:r>
        <w:rPr>
          <w:rFonts w:ascii="Times New Roman" w:hAnsi="Times New Roman" w:cs="Times New Roman" w:eastAsia="Times New Roman"/>
          <w:b w:val="0"/>
          <w:i w:val="0"/>
          <w:color w:val="000000"/>
          <w:sz w:val="24"/>
        </w:rPr>
        <w:t>O quadro seguinte sintetiza os principais estudos que fundamentam este protocolo, organizados pela ordem em que foram discutidos nas secções anteriores.</w:t>
      </w:r>
    </w:p>
    <w:p>
      <w:pPr>
        <w:spacing w:line="240" w:lineRule="auto" w:after="60" w:before="0"/>
        <w:jc w:val="left"/>
      </w:pPr>
      <w:r>
        <w:rPr>
          <w:rFonts w:ascii="Times New Roman" w:hAnsi="Times New Roman" w:cs="Times New Roman" w:eastAsia="Times New Roman"/>
          <w:b w:val="0"/>
          <w:i w:val="0"/>
          <w:color w:val="000000"/>
          <w:sz w:val="22"/>
        </w:rPr>
        <w:t>Quadro 1: Síntese dos estudos que fundamentam o protocolo.</w:t>
      </w:r>
    </w:p>
    <w:tbl>
      <w:tblPr>
        <w:tblW w:type="auto" w:w="0"/>
        <w:jc w:val="center"/>
        <w:tblLook w:firstColumn="1" w:firstRow="1" w:lastColumn="0" w:lastRow="0" w:noHBand="0" w:noVBand="1" w:val="04A0"/>
      </w:tblPr>
      <w:tblGrid>
        <w:gridCol w:w="2268"/>
        <w:gridCol w:w="2268"/>
        <w:gridCol w:w="2268"/>
        <w:gridCol w:w="2268"/>
      </w:tblGrid>
      <w:tr>
        <w:trPr>
          <w:tblHeader/>
        </w:trPr>
        <w:tc>
          <w:tcPr>
            <w:tcW w:type="dxa" w:w="1701"/>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2"/>
              </w:rPr>
              <w:t>Autor (ano)</w:t>
            </w:r>
          </w:p>
        </w:tc>
        <w:tc>
          <w:tcPr>
            <w:tcW w:type="dxa" w:w="1587"/>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2"/>
              </w:rPr>
              <w:t>Local</w:t>
            </w:r>
          </w:p>
        </w:tc>
        <w:tc>
          <w:tcPr>
            <w:tcW w:type="dxa" w:w="2041"/>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2"/>
              </w:rPr>
              <w:t>Método (amostra)</w:t>
            </w:r>
          </w:p>
        </w:tc>
        <w:tc>
          <w:tcPr>
            <w:tcW w:type="dxa" w:w="3742"/>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2"/>
              </w:rPr>
              <w:t>Principais resultados</w:t>
            </w:r>
          </w:p>
        </w:tc>
      </w:tr>
      <w:tr>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Han et al., 2019</w:t>
            </w:r>
          </w:p>
        </w:tc>
        <w:tc>
          <w:tcPr>
            <w:tcW w:type="dxa" w:w="158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68 países de baixo e médio rendimento</w:t>
            </w:r>
          </w:p>
        </w:tc>
        <w:tc>
          <w:tcPr>
            <w:tcW w:type="dxa" w:w="204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Transversal, 164.633 adolescentes de 12 a 15 anos</w:t>
            </w:r>
          </w:p>
        </w:tc>
        <w:tc>
          <w:tcPr>
            <w:tcW w:type="dxa" w:w="374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Luta física 36,4%; agressão física sofrida 35,6%; bullying 34,4%; prevalências superiores nos rapazes</w:t>
            </w:r>
          </w:p>
        </w:tc>
      </w:tr>
      <w:tr>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Aboagye et al., 2021a</w:t>
            </w:r>
          </w:p>
        </w:tc>
        <w:tc>
          <w:tcPr>
            <w:tcW w:type="dxa" w:w="158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8 países da África subsariana</w:t>
            </w:r>
          </w:p>
        </w:tc>
        <w:tc>
          <w:tcPr>
            <w:tcW w:type="dxa" w:w="204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Transversal, 14.967 adolescentes de 10 a 19 anos</w:t>
            </w:r>
          </w:p>
        </w:tc>
        <w:tc>
          <w:tcPr>
            <w:tcW w:type="dxa" w:w="374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Violência interpessoal 53,7%; associada a bullying (aOR 2,52), consumo de álcool (aOR 1,49) e absentismo (aOR 1,51)</w:t>
            </w:r>
          </w:p>
        </w:tc>
      </w:tr>
      <w:tr>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Aboagye et al., 2021b</w:t>
            </w:r>
          </w:p>
        </w:tc>
        <w:tc>
          <w:tcPr>
            <w:tcW w:type="dxa" w:w="158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11 países da África subsariana</w:t>
            </w:r>
          </w:p>
        </w:tc>
        <w:tc>
          <w:tcPr>
            <w:tcW w:type="dxa" w:w="204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Transversal, 25.454 adolescentes escolarizados</w:t>
            </w:r>
          </w:p>
        </w:tc>
        <w:tc>
          <w:tcPr>
            <w:tcW w:type="dxa" w:w="374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Vitimização por bullying 38,8%; associada a solidão, ansiedade e consumo de canábis; apoio dos pares como factor protector</w:t>
            </w:r>
          </w:p>
        </w:tc>
      </w:tr>
      <w:tr>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Ameli et al., 2017</w:t>
            </w:r>
          </w:p>
        </w:tc>
        <w:tc>
          <w:tcPr>
            <w:tcW w:type="dxa" w:w="158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Malawi</w:t>
            </w:r>
          </w:p>
        </w:tc>
        <w:tc>
          <w:tcPr>
            <w:tcW w:type="dxa" w:w="204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Transversal, adolescentes escolarizados</w:t>
            </w:r>
          </w:p>
        </w:tc>
        <w:tc>
          <w:tcPr>
            <w:tcW w:type="dxa" w:w="374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Castigo físico na escola em 42,4% das raparigas e 36,4% dos rapazes; associação com problemas de externalização</w:t>
            </w:r>
          </w:p>
        </w:tc>
      </w:tr>
      <w:tr>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Tarafa et al., 2022</w:t>
            </w:r>
          </w:p>
        </w:tc>
        <w:tc>
          <w:tcPr>
            <w:tcW w:type="dxa" w:w="158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Etiópia (Illu Abba Bor)</w:t>
            </w:r>
          </w:p>
        </w:tc>
        <w:tc>
          <w:tcPr>
            <w:tcW w:type="dxa" w:w="204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Transversal, adolescentes escolarizados</w:t>
            </w:r>
          </w:p>
        </w:tc>
        <w:tc>
          <w:tcPr>
            <w:tcW w:type="dxa" w:w="374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Vitimização por bullying associada ao sexo masculino, ao consumo de substâncias e à disfunção familiar</w:t>
            </w:r>
          </w:p>
        </w:tc>
      </w:tr>
      <w:tr>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Ugwu et al., 2024</w:t>
            </w:r>
          </w:p>
        </w:tc>
        <w:tc>
          <w:tcPr>
            <w:tcW w:type="dxa" w:w="158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Nigéria</w:t>
            </w:r>
          </w:p>
        </w:tc>
        <w:tc>
          <w:tcPr>
            <w:tcW w:type="dxa" w:w="204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Transversal, adolescentes escolarizados</w:t>
            </w:r>
          </w:p>
        </w:tc>
        <w:tc>
          <w:tcPr>
            <w:tcW w:type="dxa" w:w="374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Adversidade na infância associada à perpetração de bullying, com mediação pela influência dos pares</w:t>
            </w:r>
          </w:p>
        </w:tc>
      </w:tr>
      <w:tr>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Tian et al., 2019</w:t>
            </w:r>
          </w:p>
        </w:tc>
        <w:tc>
          <w:tcPr>
            <w:tcW w:type="dxa" w:w="158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China</w:t>
            </w:r>
          </w:p>
        </w:tc>
        <w:tc>
          <w:tcPr>
            <w:tcW w:type="dxa" w:w="204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Transversal, 1.108 adolescentes</w:t>
            </w:r>
          </w:p>
        </w:tc>
        <w:tc>
          <w:tcPr>
            <w:tcW w:type="dxa" w:w="374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Controlo psicológico parental associado à agressividade, mediado pela associação a pares desviantes e moderado pela ligação à escola</w:t>
            </w:r>
          </w:p>
        </w:tc>
      </w:tr>
      <w:tr>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Zhu et al., 2016</w:t>
            </w:r>
          </w:p>
        </w:tc>
        <w:tc>
          <w:tcPr>
            <w:tcW w:type="dxa" w:w="158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China</w:t>
            </w:r>
          </w:p>
        </w:tc>
        <w:tc>
          <w:tcPr>
            <w:tcW w:type="dxa" w:w="204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Longitudinal, adolescentes</w:t>
            </w:r>
          </w:p>
        </w:tc>
        <w:tc>
          <w:tcPr>
            <w:tcW w:type="dxa" w:w="374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Vitimização pelos pares prediz comportamento agressivo, com mediação por pares desviantes e moderação pela impulsividade</w:t>
            </w:r>
          </w:p>
        </w:tc>
      </w:tr>
      <w:tr>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Gershoff e Grogan-Kaylor, 2016</w:t>
            </w:r>
          </w:p>
        </w:tc>
        <w:tc>
          <w:tcPr>
            <w:tcW w:type="dxa" w:w="158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Meta-análise internacional</w:t>
            </w:r>
          </w:p>
        </w:tc>
        <w:tc>
          <w:tcPr>
            <w:tcW w:type="dxa" w:w="204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Meta-análise de 75 estudos, mais de 160 mil crianças</w:t>
            </w:r>
          </w:p>
        </w:tc>
        <w:tc>
          <w:tcPr>
            <w:tcW w:type="dxa" w:w="374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Castigo físico associado a maior agressividade e a mais problemas de comportamento, sem qualquer benefício documentado</w:t>
            </w:r>
          </w:p>
        </w:tc>
      </w:tr>
      <w:tr>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Elgar et al., 2018</w:t>
            </w:r>
          </w:p>
        </w:tc>
        <w:tc>
          <w:tcPr>
            <w:tcW w:type="dxa" w:w="158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88 países</w:t>
            </w:r>
          </w:p>
        </w:tc>
        <w:tc>
          <w:tcPr>
            <w:tcW w:type="dxa" w:w="204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Estudo ecológico, 403.604 adolescentes</w:t>
            </w:r>
          </w:p>
        </w:tc>
        <w:tc>
          <w:tcPr>
            <w:tcW w:type="dxa" w:w="374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Países com proibição total do castigo corporal apresentam 69% da taxa de lutas frequentes nos rapazes e 42% nas raparigas</w:t>
            </w:r>
          </w:p>
        </w:tc>
      </w:tr>
      <w:tr>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Blum et al., 2019</w:t>
            </w:r>
          </w:p>
        </w:tc>
        <w:tc>
          <w:tcPr>
            <w:tcW w:type="dxa" w:w="158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14 países de vários continentes</w:t>
            </w:r>
          </w:p>
        </w:tc>
        <w:tc>
          <w:tcPr>
            <w:tcW w:type="dxa" w:w="204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Transversal, adolescentes de 10 a 14 anos</w:t>
            </w:r>
          </w:p>
        </w:tc>
        <w:tc>
          <w:tcPr>
            <w:tcW w:type="dxa" w:w="374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Experiências adversas na infância associadas a sintomas depressivos e à perpetração de violência</w:t>
            </w:r>
          </w:p>
        </w:tc>
      </w:tr>
      <w:tr>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Brown et al., 2024</w:t>
            </w:r>
          </w:p>
        </w:tc>
        <w:tc>
          <w:tcPr>
            <w:tcW w:type="dxa" w:w="158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África subsariana</w:t>
            </w:r>
          </w:p>
        </w:tc>
        <w:tc>
          <w:tcPr>
            <w:tcW w:type="dxa" w:w="204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Análise multipaís dos inquéritos VACS</w:t>
            </w:r>
          </w:p>
        </w:tc>
        <w:tc>
          <w:tcPr>
            <w:tcW w:type="dxa" w:w="374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Experiências adversas na infância associadas a sofrimento mental, consumo de substâncias e perpetração de violência</w:t>
            </w:r>
          </w:p>
        </w:tc>
      </w:tr>
      <w:tr>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Governo de Moçambique, 2022</w:t>
            </w:r>
          </w:p>
        </w:tc>
        <w:tc>
          <w:tcPr>
            <w:tcW w:type="dxa" w:w="158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Moçambique</w:t>
            </w:r>
          </w:p>
        </w:tc>
        <w:tc>
          <w:tcPr>
            <w:tcW w:type="dxa" w:w="204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Inquérito nacional VACS, 13 a 24 anos</w:t>
            </w:r>
          </w:p>
        </w:tc>
        <w:tc>
          <w:tcPr>
            <w:tcW w:type="dxa" w:w="374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Violência física antes dos 18 anos em 23,9% das raparigas e 34,1% dos rapazes; 27,5% e 38,2% testemunharam violência física em casa</w:t>
            </w:r>
          </w:p>
        </w:tc>
      </w:tr>
      <w:tr>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Semá Baltazar et al., 2025</w:t>
            </w:r>
          </w:p>
        </w:tc>
        <w:tc>
          <w:tcPr>
            <w:tcW w:type="dxa" w:w="158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Moçambique</w:t>
            </w:r>
          </w:p>
        </w:tc>
        <w:tc>
          <w:tcPr>
            <w:tcW w:type="dxa" w:w="204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Análise secundária do VACS 2019</w:t>
            </w:r>
          </w:p>
        </w:tc>
        <w:tc>
          <w:tcPr>
            <w:tcW w:type="dxa" w:w="374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Consumo de álcool 29,7% e de drogas 22,5% entre os 13 e os 24 anos</w:t>
            </w:r>
          </w:p>
        </w:tc>
      </w:tr>
      <w:tr>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King et al., 2026</w:t>
            </w:r>
          </w:p>
        </w:tc>
        <w:tc>
          <w:tcPr>
            <w:tcW w:type="dxa" w:w="158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Moçambique (cidade de Maputo)</w:t>
            </w:r>
          </w:p>
        </w:tc>
        <w:tc>
          <w:tcPr>
            <w:tcW w:type="dxa" w:w="204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Transversal com entrevista diagnóstica, 488 estudantes de 12 a 19 anos</w:t>
            </w:r>
          </w:p>
        </w:tc>
        <w:tc>
          <w:tcPr>
            <w:tcW w:type="dxa" w:w="374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Perturbações mentais em 23,0%; apenas 2,7% procuraram cuidados no ano anterior</w:t>
            </w:r>
          </w:p>
        </w:tc>
      </w:tr>
      <w:tr>
        <w:tc>
          <w:tcPr>
            <w:tcW w:type="dxa" w:w="1701"/>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Igreja et al., 2024</w:t>
            </w:r>
          </w:p>
        </w:tc>
        <w:tc>
          <w:tcPr>
            <w:tcW w:type="dxa" w:w="1587"/>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Moçambique (Gorongosa)</w:t>
            </w:r>
          </w:p>
        </w:tc>
        <w:tc>
          <w:tcPr>
            <w:tcW w:type="dxa" w:w="2041"/>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Transversal em agregados e escolas, jovens</w:t>
            </w:r>
          </w:p>
        </w:tc>
        <w:tc>
          <w:tcPr>
            <w:tcW w:type="dxa" w:w="3742"/>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Problemas de saúde mental frequentes, associados à exposição a violência e a dificuldades socioeconómicas</w:t>
            </w:r>
          </w:p>
        </w:tc>
      </w:tr>
    </w:tbl>
    <w:p>
      <w:pPr>
        <w:spacing w:line="240" w:lineRule="auto" w:after="240" w:before="0"/>
        <w:jc w:val="left"/>
      </w:pPr>
      <w:r>
        <w:rPr>
          <w:rFonts w:ascii="Times New Roman" w:hAnsi="Times New Roman" w:cs="Times New Roman" w:eastAsia="Times New Roman"/>
          <w:b w:val="0"/>
          <w:i w:val="0"/>
          <w:color w:val="000000"/>
          <w:sz w:val="20"/>
        </w:rPr>
        <w:t>Fonte: o autor, 2026.</w:t>
      </w:r>
    </w:p>
    <w:p>
      <w:pPr>
        <w:spacing w:line="360" w:lineRule="auto" w:after="120" w:before="0"/>
        <w:jc w:val="both"/>
      </w:pPr>
      <w:r>
        <w:rPr>
          <w:rFonts w:ascii="Times New Roman" w:hAnsi="Times New Roman" w:cs="Times New Roman" w:eastAsia="Times New Roman"/>
          <w:b w:val="0"/>
          <w:i w:val="0"/>
          <w:color w:val="000000"/>
          <w:sz w:val="24"/>
        </w:rPr>
        <w:t>A leitura conjunta destes trabalhos revela três lacunas que o presente estudo procura colmatar. Em primeiro lugar, quase toda a evidência africana assenta em indicadores comportamentais isolados, como o envolvimento em lutas, e não em escalas psicométricas de agressividade. Em segundo lugar, os estudos moçambicanos disponíveis são de âmbito nacional ou circunscrevem-se ao sul do país, faltando dados da região norte e, em particular, do meio escolar periurbano. Em terceiro lugar, raramente se testam em simultâneo factores dos quatro níveis do modelo ecológico, o que impede saber quais se mantêm associados depois do ajustamento mútuo.</w:t>
      </w:r>
    </w:p>
    <w:p>
      <w:pPr>
        <w:pStyle w:val="Heading2"/>
        <w:spacing w:line="360" w:lineRule="auto" w:after="120" w:before="120"/>
        <w:jc w:val="left"/>
      </w:pPr>
      <w:r>
        <w:rPr>
          <w:rFonts w:ascii="Times New Roman" w:hAnsi="Times New Roman" w:cs="Times New Roman" w:eastAsia="Times New Roman"/>
          <w:b/>
          <w:i w:val="0"/>
          <w:color w:val="000000"/>
          <w:sz w:val="24"/>
        </w:rPr>
        <w:t>6.12. Esquema conceptual do problema</w:t>
      </w:r>
    </w:p>
    <w:p>
      <w:pPr>
        <w:spacing w:line="360" w:lineRule="auto" w:after="120" w:before="0"/>
        <w:jc w:val="both"/>
      </w:pPr>
      <w:r>
        <w:rPr>
          <w:rFonts w:ascii="Times New Roman" w:hAnsi="Times New Roman" w:cs="Times New Roman" w:eastAsia="Times New Roman"/>
          <w:b w:val="0"/>
          <w:i w:val="0"/>
          <w:color w:val="000000"/>
          <w:sz w:val="24"/>
        </w:rPr>
        <w:t>A figura seguinte representa as relações que o estudo se propõe examinar. Os factores psicossociais estão organizados pelos quatro níveis do modelo ecológico e são testados quanto à sua associação com o comportamento agressivo, medido nas dimensões do questionário de Buss e Perry e nas formas reactiva e proactiva (3-5).</w:t>
      </w:r>
    </w:p>
    <w:p>
      <w:pPr>
        <w:keepNext/>
        <w:spacing w:line="240" w:lineRule="auto" w:after="60" w:before="0"/>
        <w:jc w:val="left"/>
      </w:pPr>
      <w:r>
        <w:rPr>
          <w:rFonts w:ascii="Times New Roman" w:hAnsi="Times New Roman" w:cs="Times New Roman" w:eastAsia="Times New Roman"/>
          <w:b w:val="0"/>
          <w:i w:val="0"/>
          <w:color w:val="000000"/>
          <w:sz w:val="20"/>
        </w:rPr>
        <w:t>Figura 1: Esquema conceptual dos factores psicossociais associados ao comportamento agressivo no adolescente, segundo os níveis do modelo ecológico.</w:t>
      </w:r>
    </w:p>
    <w:p>
      <w:pPr>
        <w:spacing w:line="240" w:lineRule="auto" w:after="120" w:before="0"/>
        <w:jc w:val="center"/>
      </w:pPr>
      <w:r>
        <w:drawing>
          <wp:inline xmlns:a="http://schemas.openxmlformats.org/drawingml/2006/main" xmlns:pic="http://schemas.openxmlformats.org/drawingml/2006/picture">
            <wp:extent cx="5580000" cy="3774254"/>
            <wp:docPr id="1" name="Picture 1"/>
            <wp:cNvGraphicFramePr>
              <a:graphicFrameLocks noChangeAspect="1"/>
            </wp:cNvGraphicFramePr>
            <a:graphic>
              <a:graphicData uri="http://schemas.openxmlformats.org/drawingml/2006/picture">
                <pic:pic>
                  <pic:nvPicPr>
                    <pic:cNvPr id="0" name="esquema_conceptual.png"/>
                    <pic:cNvPicPr/>
                  </pic:nvPicPr>
                  <pic:blipFill>
                    <a:blip r:embed="rId9"/>
                    <a:stretch>
                      <a:fillRect/>
                    </a:stretch>
                  </pic:blipFill>
                  <pic:spPr>
                    <a:xfrm>
                      <a:off x="0" y="0"/>
                      <a:ext cx="5580000" cy="3774254"/>
                    </a:xfrm>
                    <a:prstGeom prst="rect"/>
                  </pic:spPr>
                </pic:pic>
              </a:graphicData>
            </a:graphic>
          </wp:inline>
        </w:drawing>
      </w:r>
    </w:p>
    <w:p>
      <w:pPr>
        <w:spacing w:line="240" w:lineRule="auto" w:after="120" w:before="0"/>
        <w:jc w:val="both"/>
      </w:pPr>
      <w:r>
        <w:rPr>
          <w:rFonts w:ascii="Times New Roman" w:hAnsi="Times New Roman" w:cs="Times New Roman" w:eastAsia="Times New Roman"/>
          <w:b w:val="0"/>
          <w:i w:val="0"/>
          <w:color w:val="000000"/>
          <w:sz w:val="20"/>
        </w:rPr>
        <w:t>Fonte: o autor, 2026, com base no modelo ecológico da Organização Mundial da Saúde.</w:t>
      </w:r>
    </w:p>
    <w:p>
      <w:pPr>
        <w:pStyle w:val="Heading1"/>
        <w:spacing w:line="360" w:lineRule="auto" w:after="120" w:before="240"/>
        <w:jc w:val="left"/>
      </w:pPr>
      <w:r>
        <w:rPr>
          <w:rFonts w:ascii="Times New Roman" w:hAnsi="Times New Roman" w:cs="Times New Roman" w:eastAsia="Times New Roman"/>
          <w:b/>
          <w:i w:val="0"/>
          <w:color w:val="000000"/>
          <w:sz w:val="26"/>
        </w:rPr>
        <w:t>7. METODOLOGIA</w:t>
      </w:r>
    </w:p>
    <w:p>
      <w:pPr>
        <w:pStyle w:val="Heading2"/>
        <w:spacing w:line="360" w:lineRule="auto" w:after="120" w:before="120"/>
        <w:jc w:val="left"/>
      </w:pPr>
      <w:r>
        <w:rPr>
          <w:rFonts w:ascii="Times New Roman" w:hAnsi="Times New Roman" w:cs="Times New Roman" w:eastAsia="Times New Roman"/>
          <w:b/>
          <w:i w:val="0"/>
          <w:color w:val="000000"/>
          <w:sz w:val="24"/>
        </w:rPr>
        <w:t>7.1. Tipo e desenho do estudo</w:t>
      </w:r>
    </w:p>
    <w:p>
      <w:pPr>
        <w:spacing w:line="360" w:lineRule="auto" w:after="120" w:before="0"/>
        <w:jc w:val="both"/>
      </w:pPr>
      <w:r>
        <w:rPr>
          <w:rFonts w:ascii="Times New Roman" w:hAnsi="Times New Roman" w:cs="Times New Roman" w:eastAsia="Times New Roman"/>
          <w:b w:val="0"/>
          <w:i w:val="0"/>
          <w:color w:val="000000"/>
          <w:sz w:val="24"/>
        </w:rPr>
        <w:t>Trata-se de um estudo de corte transversal, analítico, de abordagem quantitativa. O desenho transversal é adequado porque permite estimar, num único momento, o nível de comportamento agressivo e a frequência dos factores psicossociais, e testar as associações previstas nas hipóteses, sem exigir o seguimento dos participantes (53). Reconhece-se, como limitação inerente ao desenho, a impossibilidade de estabelecer a ordem temporal entre exposição e desfecho, pelo que os resultados serão interpretados como associações e não como relações de causa e efeito. O estudo será desenhado e reportado segundo a lista de verificação STROBE, aplicável a estudos observacionais (54).</w:t>
      </w:r>
    </w:p>
    <w:p>
      <w:pPr>
        <w:pStyle w:val="Heading2"/>
        <w:spacing w:line="360" w:lineRule="auto" w:after="120" w:before="120"/>
        <w:jc w:val="left"/>
      </w:pPr>
      <w:r>
        <w:rPr>
          <w:rFonts w:ascii="Times New Roman" w:hAnsi="Times New Roman" w:cs="Times New Roman" w:eastAsia="Times New Roman"/>
          <w:b/>
          <w:i w:val="0"/>
          <w:color w:val="000000"/>
          <w:sz w:val="24"/>
        </w:rPr>
        <w:t>7.2. Local e período do estudo</w:t>
      </w:r>
    </w:p>
    <w:p>
      <w:pPr>
        <w:spacing w:line="360" w:lineRule="auto" w:after="120" w:before="0"/>
        <w:jc w:val="both"/>
      </w:pPr>
      <w:r>
        <w:rPr>
          <w:rFonts w:ascii="Times New Roman" w:hAnsi="Times New Roman" w:cs="Times New Roman" w:eastAsia="Times New Roman"/>
          <w:b w:val="0"/>
          <w:i w:val="0"/>
          <w:color w:val="000000"/>
          <w:sz w:val="24"/>
        </w:rPr>
        <w:t>O estudo será realizado na Escola Secundária de Muatala, situada no bairro de Muatala, cidade de Nampula, província de Nampula, no norte de Moçambique. Trata-se de um estabelecimento público de ensino secundário, inserido num bairro periurbano de elevada densidade populacional, com predomínio da língua Emakhuwa e rendimento familiar maioritariamente proveniente do comércio informal e da agricultura. A recolha de dados decorrerá no segundo semestre do ano lectivo de 2026, entre Outubro e Novembro, em período de aulas e fora da época de exames, de modo a não perturbar a avaliação dos alunos.</w:t>
      </w:r>
    </w:p>
    <w:p>
      <w:pPr>
        <w:pStyle w:val="Heading2"/>
        <w:spacing w:line="360" w:lineRule="auto" w:after="120" w:before="120"/>
        <w:jc w:val="left"/>
      </w:pPr>
      <w:r>
        <w:rPr>
          <w:rFonts w:ascii="Times New Roman" w:hAnsi="Times New Roman" w:cs="Times New Roman" w:eastAsia="Times New Roman"/>
          <w:b/>
          <w:i w:val="0"/>
          <w:color w:val="000000"/>
          <w:sz w:val="24"/>
        </w:rPr>
        <w:t>7.3. População do estudo</w:t>
      </w:r>
    </w:p>
    <w:p>
      <w:pPr>
        <w:spacing w:line="360" w:lineRule="auto" w:after="120" w:before="0"/>
        <w:jc w:val="both"/>
      </w:pPr>
      <w:r>
        <w:rPr>
          <w:rFonts w:ascii="Times New Roman" w:hAnsi="Times New Roman" w:cs="Times New Roman" w:eastAsia="Times New Roman"/>
          <w:b w:val="0"/>
          <w:i w:val="0"/>
          <w:color w:val="000000"/>
          <w:sz w:val="24"/>
        </w:rPr>
        <w:t>A população-alvo é constituída por todos os adolescentes dos 10 aos 19 anos de idade regularmente matriculados e em frequência efectiva na Escola Secundária de Muatala no segundo semestre de 2026, em ambos os turnos e em todas as classes leccionadas. O número exacto de alunos elegíveis, desagregado por classe, turma e turno, será obtido junto da direcção da escola no momento da aprovação do estudo e constituirá o enquadramento amostral.</w:t>
      </w:r>
    </w:p>
    <w:p>
      <w:pPr>
        <w:pStyle w:val="Heading2"/>
        <w:spacing w:line="360" w:lineRule="auto" w:after="120" w:before="120"/>
        <w:jc w:val="left"/>
      </w:pPr>
      <w:r>
        <w:rPr>
          <w:rFonts w:ascii="Times New Roman" w:hAnsi="Times New Roman" w:cs="Times New Roman" w:eastAsia="Times New Roman"/>
          <w:b/>
          <w:i w:val="0"/>
          <w:color w:val="000000"/>
          <w:sz w:val="24"/>
        </w:rPr>
        <w:t>7.4. Amostragem e cálculo do tamanho da amostra</w:t>
      </w:r>
    </w:p>
    <w:p>
      <w:pPr>
        <w:spacing w:line="360" w:lineRule="auto" w:after="120" w:before="0"/>
        <w:jc w:val="both"/>
      </w:pPr>
      <w:r>
        <w:rPr>
          <w:rFonts w:ascii="Times New Roman" w:hAnsi="Times New Roman" w:cs="Times New Roman" w:eastAsia="Times New Roman"/>
          <w:b w:val="0"/>
          <w:i w:val="0"/>
          <w:color w:val="000000"/>
          <w:sz w:val="24"/>
        </w:rPr>
        <w:t>A amostra será seleccionada por amostragem probabilística estratificada por classe, com selecção aleatória simples de turmas dentro de cada classe e inclusão de todos os alunos elegíveis das turmas sorteadas. A afectação às classes será proporcional ao número de alunos matriculados. A opção por amostragem probabilística, em substituição da amostragem por conveniência, é decisiva para a representatividade, para a validade externa dos resultados e para a legitimidade dos testes de associação previstos.</w:t>
      </w:r>
    </w:p>
    <w:p>
      <w:pPr>
        <w:spacing w:line="360" w:lineRule="auto" w:after="120" w:before="0"/>
        <w:jc w:val="both"/>
      </w:pPr>
      <w:r>
        <w:rPr>
          <w:rFonts w:ascii="Times New Roman" w:hAnsi="Times New Roman" w:cs="Times New Roman" w:eastAsia="Times New Roman"/>
          <w:b w:val="0"/>
          <w:i w:val="0"/>
          <w:color w:val="000000"/>
          <w:sz w:val="24"/>
        </w:rPr>
        <w:t>O tamanho mínimo da amostra foi calculado pela fórmula da proporção única para populações grandes (53):</w:t>
      </w:r>
    </w:p>
    <w:p>
      <w:pPr>
        <w:keepNext/>
        <w:spacing w:line="240" w:lineRule="auto" w:after="120" w:before="0"/>
        <w:jc w:val="both"/>
      </w:pPr>
      <w:r>
        <w:rPr>
          <w:rFonts w:ascii="Times New Roman" w:hAnsi="Times New Roman" w:cs="Times New Roman" w:eastAsia="Times New Roman"/>
          <w:b w:val="0"/>
          <w:i w:val="0"/>
          <w:color w:val="000000"/>
          <w:sz w:val="24"/>
        </w:rPr>
        <w:t>n0 = Z² × p × (1 - p) / d²</w:t>
      </w:r>
    </w:p>
    <w:p>
      <w:pPr>
        <w:spacing w:line="360" w:lineRule="auto" w:after="120" w:before="0"/>
        <w:jc w:val="both"/>
      </w:pPr>
      <w:r>
        <w:rPr>
          <w:rFonts w:ascii="Times New Roman" w:hAnsi="Times New Roman" w:cs="Times New Roman" w:eastAsia="Times New Roman"/>
          <w:b w:val="0"/>
          <w:i w:val="0"/>
          <w:color w:val="000000"/>
          <w:sz w:val="24"/>
        </w:rPr>
        <w:t>em que Z corresponde a 1,96, para um nível de confiança de 95 por cento; p é a prevalência esperada de comportamento agressivo, fixada em 53,7 por cento, valor obtido na análise agrupada de oito países da África subsariana para adolescentes dos 10 aos 19 anos (8); e d é a precisão absoluta admitida, de 5 pontos percentuais. A aplicação da fórmula devolve n0 igual a 383 participantes. Por se tratar de amostragem por conglomerados, aplica-se um efeito de desenho (deff) de 1,5, que eleva o valor para 575 participantes. Este resultado é depois corrigido para a população finita da escola e acrescido de 10 por cento para compensar recusas e questionários incompletos.</w:t>
      </w:r>
    </w:p>
    <w:p>
      <w:pPr>
        <w:spacing w:line="240" w:lineRule="auto" w:after="60" w:before="0"/>
        <w:jc w:val="left"/>
      </w:pPr>
      <w:r>
        <w:rPr>
          <w:rFonts w:ascii="Times New Roman" w:hAnsi="Times New Roman" w:cs="Times New Roman" w:eastAsia="Times New Roman"/>
          <w:b w:val="0"/>
          <w:i w:val="0"/>
          <w:color w:val="000000"/>
          <w:sz w:val="22"/>
        </w:rPr>
        <w:t>Tabela 1: Tamanho da amostra segundo o número de alunos elegíveis na escola.</w:t>
      </w:r>
    </w:p>
    <w:tbl>
      <w:tblPr>
        <w:tblW w:type="auto" w:w="0"/>
        <w:jc w:val="center"/>
        <w:tblLook w:firstColumn="1" w:firstRow="1" w:lastColumn="0" w:lastRow="0" w:noHBand="0" w:noVBand="1" w:val="04A0"/>
      </w:tblPr>
      <w:tblGrid>
        <w:gridCol w:w="3024"/>
        <w:gridCol w:w="3024"/>
        <w:gridCol w:w="3024"/>
      </w:tblGrid>
      <w:tr>
        <w:trPr>
          <w:tblHeader/>
        </w:trPr>
        <w:tc>
          <w:tcPr>
            <w:tcW w:type="dxa" w:w="2268"/>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2"/>
              </w:rPr>
              <w:t>Alunos elegíveis (N)</w:t>
            </w:r>
          </w:p>
        </w:tc>
        <w:tc>
          <w:tcPr>
            <w:tcW w:type="dxa" w:w="3402"/>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2"/>
              </w:rPr>
              <w:t>Amostra corrigida para população finita</w:t>
            </w:r>
          </w:p>
        </w:tc>
        <w:tc>
          <w:tcPr>
            <w:tcW w:type="dxa" w:w="3402"/>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2"/>
              </w:rPr>
              <w:t>Amostra final, com 10% para não resposta</w:t>
            </w:r>
          </w:p>
        </w:tc>
      </w:tr>
      <w:tr>
        <w:tc>
          <w:tcPr>
            <w:tcW w:type="dxa" w:w="226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800</w:t>
            </w:r>
          </w:p>
        </w:tc>
        <w:tc>
          <w:tcPr>
            <w:tcW w:type="dxa" w:w="340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335</w:t>
            </w:r>
          </w:p>
        </w:tc>
        <w:tc>
          <w:tcPr>
            <w:tcW w:type="dxa" w:w="340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373</w:t>
            </w:r>
          </w:p>
        </w:tc>
      </w:tr>
      <w:tr>
        <w:tc>
          <w:tcPr>
            <w:tcW w:type="dxa" w:w="226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1.200</w:t>
            </w:r>
          </w:p>
        </w:tc>
        <w:tc>
          <w:tcPr>
            <w:tcW w:type="dxa" w:w="340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389</w:t>
            </w:r>
          </w:p>
        </w:tc>
        <w:tc>
          <w:tcPr>
            <w:tcW w:type="dxa" w:w="340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433</w:t>
            </w:r>
          </w:p>
        </w:tc>
      </w:tr>
      <w:tr>
        <w:tc>
          <w:tcPr>
            <w:tcW w:type="dxa" w:w="226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1.600</w:t>
            </w:r>
          </w:p>
        </w:tc>
        <w:tc>
          <w:tcPr>
            <w:tcW w:type="dxa" w:w="340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424</w:t>
            </w:r>
          </w:p>
        </w:tc>
        <w:tc>
          <w:tcPr>
            <w:tcW w:type="dxa" w:w="340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472</w:t>
            </w:r>
          </w:p>
        </w:tc>
      </w:tr>
      <w:tr>
        <w:tc>
          <w:tcPr>
            <w:tcW w:type="dxa" w:w="226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2.000</w:t>
            </w:r>
          </w:p>
        </w:tc>
        <w:tc>
          <w:tcPr>
            <w:tcW w:type="dxa" w:w="340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447</w:t>
            </w:r>
          </w:p>
        </w:tc>
        <w:tc>
          <w:tcPr>
            <w:tcW w:type="dxa" w:w="340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497</w:t>
            </w:r>
          </w:p>
        </w:tc>
      </w:tr>
      <w:tr>
        <w:tc>
          <w:tcPr>
            <w:tcW w:type="dxa" w:w="2268"/>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2.500</w:t>
            </w:r>
          </w:p>
        </w:tc>
        <w:tc>
          <w:tcPr>
            <w:tcW w:type="dxa" w:w="3402"/>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468</w:t>
            </w:r>
          </w:p>
        </w:tc>
        <w:tc>
          <w:tcPr>
            <w:tcW w:type="dxa" w:w="3402"/>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520</w:t>
            </w:r>
          </w:p>
        </w:tc>
      </w:tr>
    </w:tbl>
    <w:p>
      <w:pPr>
        <w:spacing w:line="240" w:lineRule="auto" w:after="240" w:before="0"/>
        <w:jc w:val="left"/>
      </w:pPr>
      <w:r>
        <w:rPr>
          <w:rFonts w:ascii="Times New Roman" w:hAnsi="Times New Roman" w:cs="Times New Roman" w:eastAsia="Times New Roman"/>
          <w:b w:val="0"/>
          <w:i w:val="0"/>
          <w:color w:val="000000"/>
          <w:sz w:val="20"/>
        </w:rPr>
        <w:t>Fonte: o autor, 2026. Cálculo com Z=1,96; p=0,537; d=0,05; efeito de desenho de 1,5.</w:t>
      </w:r>
    </w:p>
    <w:p>
      <w:pPr>
        <w:spacing w:line="360" w:lineRule="auto" w:after="120" w:before="0"/>
        <w:jc w:val="both"/>
      </w:pPr>
      <w:r>
        <w:rPr>
          <w:rFonts w:ascii="Times New Roman" w:hAnsi="Times New Roman" w:cs="Times New Roman" w:eastAsia="Times New Roman"/>
          <w:b w:val="0"/>
          <w:i w:val="0"/>
          <w:color w:val="000000"/>
          <w:sz w:val="24"/>
        </w:rPr>
        <w:t>O cenário definitivo será fixado assim que a direcção da escola confirmar o número de alunos elegíveis. A título indicativo, para uma população de 1.600 alunos, o estudo necessitará de 472 participantes.</w:t>
      </w:r>
    </w:p>
    <w:p>
      <w:pPr>
        <w:pStyle w:val="Heading2"/>
        <w:spacing w:line="360" w:lineRule="auto" w:after="120" w:before="120"/>
        <w:jc w:val="left"/>
      </w:pPr>
      <w:r>
        <w:rPr>
          <w:rFonts w:ascii="Times New Roman" w:hAnsi="Times New Roman" w:cs="Times New Roman" w:eastAsia="Times New Roman"/>
          <w:b/>
          <w:i w:val="0"/>
          <w:color w:val="000000"/>
          <w:sz w:val="24"/>
        </w:rPr>
        <w:t>7.5. Critérios de inclusão e de exclusão</w:t>
      </w:r>
    </w:p>
    <w:p>
      <w:pPr>
        <w:pStyle w:val="Heading3"/>
        <w:spacing w:line="360" w:lineRule="auto" w:after="120" w:before="120"/>
        <w:jc w:val="left"/>
      </w:pPr>
      <w:r>
        <w:rPr>
          <w:rFonts w:ascii="Times New Roman" w:hAnsi="Times New Roman" w:cs="Times New Roman" w:eastAsia="Times New Roman"/>
          <w:b w:val="0"/>
          <w:i w:val="0"/>
          <w:color w:val="000000"/>
          <w:sz w:val="24"/>
        </w:rPr>
        <w:t>7.5.1. Critérios de inclusão</w:t>
      </w:r>
    </w:p>
    <w:p>
      <w:pPr>
        <w:pStyle w:val="ListBullet"/>
        <w:spacing w:line="360" w:lineRule="auto" w:after="60" w:before="0"/>
        <w:jc w:val="both"/>
      </w:pPr>
      <w:r>
        <w:rPr>
          <w:rFonts w:ascii="Times New Roman" w:hAnsi="Times New Roman" w:cs="Times New Roman" w:eastAsia="Times New Roman"/>
          <w:b w:val="0"/>
          <w:i w:val="0"/>
          <w:color w:val="000000"/>
          <w:sz w:val="24"/>
        </w:rPr>
        <w:t>Idade compreendida entre os 10 e os 19 anos completos à data da recolha;</w:t>
      </w:r>
    </w:p>
    <w:p>
      <w:pPr>
        <w:pStyle w:val="ListBullet"/>
        <w:spacing w:line="360" w:lineRule="auto" w:after="60" w:before="0"/>
        <w:jc w:val="both"/>
      </w:pPr>
      <w:r>
        <w:rPr>
          <w:rFonts w:ascii="Times New Roman" w:hAnsi="Times New Roman" w:cs="Times New Roman" w:eastAsia="Times New Roman"/>
          <w:b w:val="0"/>
          <w:i w:val="0"/>
          <w:color w:val="000000"/>
          <w:sz w:val="24"/>
        </w:rPr>
        <w:t>Matrícula e frequência efectiva na Escola Secundária de Muatala no segundo semestre de 2026;</w:t>
      </w:r>
    </w:p>
    <w:p>
      <w:pPr>
        <w:pStyle w:val="ListBullet"/>
        <w:spacing w:line="360" w:lineRule="auto" w:after="60" w:before="0"/>
        <w:jc w:val="both"/>
      </w:pPr>
      <w:r>
        <w:rPr>
          <w:rFonts w:ascii="Times New Roman" w:hAnsi="Times New Roman" w:cs="Times New Roman" w:eastAsia="Times New Roman"/>
          <w:b w:val="0"/>
          <w:i w:val="0"/>
          <w:color w:val="000000"/>
          <w:sz w:val="24"/>
        </w:rPr>
        <w:t>Assentimento do adolescente e, nos menores de 18 anos, consentimento livre e esclarecido do pai, da mãe ou do responsável legal;</w:t>
      </w:r>
    </w:p>
    <w:p>
      <w:pPr>
        <w:pStyle w:val="ListBullet"/>
        <w:spacing w:line="360" w:lineRule="auto" w:after="60" w:before="0"/>
        <w:jc w:val="both"/>
      </w:pPr>
      <w:r>
        <w:rPr>
          <w:rFonts w:ascii="Times New Roman" w:hAnsi="Times New Roman" w:cs="Times New Roman" w:eastAsia="Times New Roman"/>
          <w:b w:val="0"/>
          <w:i w:val="0"/>
          <w:color w:val="000000"/>
          <w:sz w:val="24"/>
        </w:rPr>
        <w:t>Estar presente na sala no dia da aplicação do questionário.</w:t>
      </w:r>
    </w:p>
    <w:p>
      <w:pPr>
        <w:pStyle w:val="Heading3"/>
        <w:spacing w:line="360" w:lineRule="auto" w:after="120" w:before="120"/>
        <w:jc w:val="left"/>
      </w:pPr>
      <w:r>
        <w:rPr>
          <w:rFonts w:ascii="Times New Roman" w:hAnsi="Times New Roman" w:cs="Times New Roman" w:eastAsia="Times New Roman"/>
          <w:b w:val="0"/>
          <w:i w:val="0"/>
          <w:color w:val="000000"/>
          <w:sz w:val="24"/>
        </w:rPr>
        <w:t>7.5.2. Critérios de exclusão</w:t>
      </w:r>
    </w:p>
    <w:p>
      <w:pPr>
        <w:pStyle w:val="ListBullet"/>
        <w:spacing w:line="360" w:lineRule="auto" w:after="60" w:before="0"/>
        <w:jc w:val="both"/>
      </w:pPr>
      <w:r>
        <w:rPr>
          <w:rFonts w:ascii="Times New Roman" w:hAnsi="Times New Roman" w:cs="Times New Roman" w:eastAsia="Times New Roman"/>
          <w:b w:val="0"/>
          <w:i w:val="0"/>
          <w:color w:val="000000"/>
          <w:sz w:val="24"/>
        </w:rPr>
        <w:t>Dificuldade de compreensão das perguntas que impeça o preenchimento autónomo, mesmo com apoio do aplicador;</w:t>
      </w:r>
    </w:p>
    <w:p>
      <w:pPr>
        <w:pStyle w:val="ListBullet"/>
        <w:spacing w:line="360" w:lineRule="auto" w:after="60" w:before="0"/>
        <w:jc w:val="both"/>
      </w:pPr>
      <w:r>
        <w:rPr>
          <w:rFonts w:ascii="Times New Roman" w:hAnsi="Times New Roman" w:cs="Times New Roman" w:eastAsia="Times New Roman"/>
          <w:b w:val="0"/>
          <w:i w:val="0"/>
          <w:color w:val="000000"/>
          <w:sz w:val="24"/>
        </w:rPr>
        <w:t>Recusa em participar, manifestada pelo adolescente ou pelo responsável legal;</w:t>
      </w:r>
    </w:p>
    <w:p>
      <w:pPr>
        <w:pStyle w:val="ListBullet"/>
        <w:spacing w:line="360" w:lineRule="auto" w:after="60" w:before="0"/>
        <w:jc w:val="both"/>
      </w:pPr>
      <w:r>
        <w:rPr>
          <w:rFonts w:ascii="Times New Roman" w:hAnsi="Times New Roman" w:cs="Times New Roman" w:eastAsia="Times New Roman"/>
          <w:b w:val="0"/>
          <w:i w:val="0"/>
          <w:color w:val="000000"/>
          <w:sz w:val="24"/>
        </w:rPr>
        <w:t>Questionário devolvido com mais de 10 por cento dos itens por responder ou com padrão de resposta manifestamente inconsistente;</w:t>
      </w:r>
    </w:p>
    <w:p>
      <w:pPr>
        <w:pStyle w:val="ListBullet"/>
        <w:spacing w:line="360" w:lineRule="auto" w:after="60" w:before="0"/>
        <w:jc w:val="both"/>
      </w:pPr>
      <w:r>
        <w:rPr>
          <w:rFonts w:ascii="Times New Roman" w:hAnsi="Times New Roman" w:cs="Times New Roman" w:eastAsia="Times New Roman"/>
          <w:b w:val="0"/>
          <w:i w:val="0"/>
          <w:color w:val="000000"/>
          <w:sz w:val="24"/>
        </w:rPr>
        <w:t>Estudante em situação de crise emocional aguda no momento da recolha, caso em que será encaminhado e não inquirido.</w:t>
      </w:r>
    </w:p>
    <w:p>
      <w:pPr>
        <w:pStyle w:val="Heading2"/>
        <w:spacing w:line="360" w:lineRule="auto" w:after="120" w:before="120"/>
        <w:jc w:val="left"/>
      </w:pPr>
      <w:r>
        <w:rPr>
          <w:rFonts w:ascii="Times New Roman" w:hAnsi="Times New Roman" w:cs="Times New Roman" w:eastAsia="Times New Roman"/>
          <w:b/>
          <w:i w:val="0"/>
          <w:color w:val="000000"/>
          <w:sz w:val="24"/>
        </w:rPr>
        <w:t>7.6. Variáveis do estudo e definições operacionais</w:t>
      </w:r>
    </w:p>
    <w:p>
      <w:pPr>
        <w:spacing w:line="360" w:lineRule="auto" w:after="120" w:before="0"/>
        <w:jc w:val="both"/>
      </w:pPr>
      <w:r>
        <w:rPr>
          <w:rFonts w:ascii="Times New Roman" w:hAnsi="Times New Roman" w:cs="Times New Roman" w:eastAsia="Times New Roman"/>
          <w:b w:val="0"/>
          <w:i w:val="0"/>
          <w:color w:val="000000"/>
          <w:sz w:val="24"/>
        </w:rPr>
        <w:t>A variável dependente é o comportamento agressivo, tratado como variável contínua, através da pontuação total e das pontuações por dimensão, e como variável dicotómica, distinguindo os adolescentes com agressividade elevada, definidos pela pontuação igual ou superior ao percentil 75 da amostra. As variáveis independentes são os factores psicossociais dos quatro níveis do modelo ecológico. O quadro seguinte apresenta a definição operacional de cada variável.</w:t>
      </w:r>
    </w:p>
    <w:p>
      <w:pPr>
        <w:spacing w:line="240" w:lineRule="auto" w:after="60" w:before="0"/>
        <w:jc w:val="left"/>
      </w:pPr>
      <w:r>
        <w:rPr>
          <w:rFonts w:ascii="Times New Roman" w:hAnsi="Times New Roman" w:cs="Times New Roman" w:eastAsia="Times New Roman"/>
          <w:b w:val="0"/>
          <w:i w:val="0"/>
          <w:color w:val="000000"/>
          <w:sz w:val="22"/>
        </w:rPr>
        <w:t>Quadro 2: Definição operacional das variáveis do estudo.</w:t>
      </w:r>
    </w:p>
    <w:tbl>
      <w:tblPr>
        <w:tblW w:type="auto" w:w="0"/>
        <w:jc w:val="center"/>
        <w:tblLook w:firstColumn="1" w:firstRow="1" w:lastColumn="0" w:lastRow="0" w:noHBand="0" w:noVBand="1" w:val="04A0"/>
      </w:tblPr>
      <w:tblGrid>
        <w:gridCol w:w="2268"/>
        <w:gridCol w:w="2268"/>
        <w:gridCol w:w="2268"/>
        <w:gridCol w:w="2268"/>
      </w:tblGrid>
      <w:tr>
        <w:trPr>
          <w:tblHeader/>
        </w:trPr>
        <w:tc>
          <w:tcPr>
            <w:tcW w:type="dxa" w:w="2381"/>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2"/>
              </w:rPr>
              <w:t>Variável</w:t>
            </w:r>
          </w:p>
        </w:tc>
        <w:tc>
          <w:tcPr>
            <w:tcW w:type="dxa" w:w="1361"/>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2"/>
              </w:rPr>
              <w:t>Tipo</w:t>
            </w:r>
          </w:p>
        </w:tc>
        <w:tc>
          <w:tcPr>
            <w:tcW w:type="dxa" w:w="1701"/>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2"/>
              </w:rPr>
              <w:t>Natureza e escala</w:t>
            </w:r>
          </w:p>
        </w:tc>
        <w:tc>
          <w:tcPr>
            <w:tcW w:type="dxa" w:w="3628"/>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2"/>
              </w:rPr>
              <w:t>Categorias ou medição</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Idade</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Independente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Quantitativa discreta</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Anos completos; 10-14 e 15-19</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Sexo</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Independente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Qualitativa nominal</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Masculino; feminino</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Classe frequentada</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Independente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Qualitativa ordinal</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8.ª a 12.ª classe</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Repetência escolar</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Independente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Qualitativa nominal</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Sim; não</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Absentismo escolar</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Independente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Qualitativa nominal</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Faltou sem justificação em um ou mais dias nos últimos 30 dias: sim; não</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Com quem vive</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Independente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Qualitativa nominal</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Ambos os progenitores; um progenitor; outros familiares; outra situação</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Funcionamento familiar</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Independente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Qualitativa ordinal</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APGAR familiar: funcional, 7 a 10 pontos; disfunção moderada, 4 a 6; disfunção grave, 0 a 3</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Supervisão parental</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Independente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Qualitativa ordinal</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Itens do GSHS: elevada; intermédia; baixa</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Castigo físico em casa</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Independente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Qualitativa nominal</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Item do ACE-IQ nos últimos 12 meses: sim; não</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Violência entre progenitores</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Independente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Qualitativa nominal</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Testemunhou agressão entre adultos do agregado: sim; não</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Vitimização por bullying</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Independente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Qualitativa nominal</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Item do GSHS nos últimos 30 dias: sim; não</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Ligação à escola</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Independente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Qualitativa ordinal</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Pontuação em tercis: baixa; média; elevada</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Pares desviantes</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Independente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Qualitativa ordinal</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Número de amigos próximos com comportamentos desviantes: nenhum; um; dois ou mais</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Consumo de álcool</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Independente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Qualitativa nominal</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Consumo em pelo menos um dia nos últimos 30 dias: sim; não</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Consumo de tabaco ou de outras drogas</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Independente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Qualitativa nominal</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Sim; não</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Exposição a violência comunitária</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Independente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Qualitativa nominal</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Presenciou agressão no bairro nos últimos 12 meses: sim; não</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Exposição a conteúdos violentos</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Independente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Qualitativa ordinal</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Horas diárias de exposição: menos de uma; uma a três; mais de três</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Sintomas emocionais</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Independente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Qualitativa ordinal</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Subescala emocional do SDQ: normal; limítrofe; anormal</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Comportamento agressivo total</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Quantitativa contínua</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Pontuação total do BPAQ-SF, de 12 a 60 pontos</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Dimensões da agressividade</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Quantitativa contínua</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Pontuações de agressão física, agressão verbal, ira e hostilidade</w:t>
            </w:r>
          </w:p>
        </w:tc>
      </w:tr>
      <w:tr>
        <w:tc>
          <w:tcPr>
            <w:tcW w:type="dxa" w:w="238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Agressividade elevada</w:t>
            </w:r>
          </w:p>
        </w:tc>
        <w:tc>
          <w:tcPr>
            <w:tcW w:type="dxa" w:w="136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Dependente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Qualitativa nominal</w:t>
            </w:r>
          </w:p>
        </w:tc>
        <w:tc>
          <w:tcPr>
            <w:tcW w:type="dxa" w:w="362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Pontuação total igual ou superior ao percentil 75 da amostra: sim; não</w:t>
            </w:r>
          </w:p>
        </w:tc>
      </w:tr>
      <w:tr>
        <w:tc>
          <w:tcPr>
            <w:tcW w:type="dxa" w:w="2381"/>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Agressão reactiva e proactiva</w:t>
            </w:r>
          </w:p>
        </w:tc>
        <w:tc>
          <w:tcPr>
            <w:tcW w:type="dxa" w:w="1361"/>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Dependente</w:t>
            </w:r>
          </w:p>
        </w:tc>
        <w:tc>
          <w:tcPr>
            <w:tcW w:type="dxa" w:w="1701"/>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Quantitativa contínua</w:t>
            </w:r>
          </w:p>
        </w:tc>
        <w:tc>
          <w:tcPr>
            <w:tcW w:type="dxa" w:w="3628"/>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Pontuações das duas subescalas do RPQ</w:t>
            </w:r>
          </w:p>
        </w:tc>
      </w:tr>
    </w:tbl>
    <w:p>
      <w:pPr>
        <w:spacing w:line="240" w:lineRule="auto" w:after="240" w:before="0"/>
        <w:jc w:val="left"/>
      </w:pPr>
      <w:r>
        <w:rPr>
          <w:rFonts w:ascii="Times New Roman" w:hAnsi="Times New Roman" w:cs="Times New Roman" w:eastAsia="Times New Roman"/>
          <w:b w:val="0"/>
          <w:i w:val="0"/>
          <w:color w:val="000000"/>
          <w:sz w:val="20"/>
        </w:rPr>
        <w:t>Fonte: o autor, 2026.</w:t>
      </w:r>
    </w:p>
    <w:p>
      <w:pPr>
        <w:pStyle w:val="Heading2"/>
        <w:spacing w:line="360" w:lineRule="auto" w:after="120" w:before="120"/>
        <w:jc w:val="left"/>
      </w:pPr>
      <w:r>
        <w:rPr>
          <w:rFonts w:ascii="Times New Roman" w:hAnsi="Times New Roman" w:cs="Times New Roman" w:eastAsia="Times New Roman"/>
          <w:b/>
          <w:i w:val="0"/>
          <w:color w:val="000000"/>
          <w:sz w:val="24"/>
        </w:rPr>
        <w:t>7.7. Instrumento de recolha de dados</w:t>
      </w:r>
    </w:p>
    <w:p>
      <w:pPr>
        <w:spacing w:line="360" w:lineRule="auto" w:after="120" w:before="0"/>
        <w:jc w:val="both"/>
      </w:pPr>
      <w:r>
        <w:rPr>
          <w:rFonts w:ascii="Times New Roman" w:hAnsi="Times New Roman" w:cs="Times New Roman" w:eastAsia="Times New Roman"/>
          <w:b w:val="0"/>
          <w:i w:val="0"/>
          <w:color w:val="000000"/>
          <w:sz w:val="24"/>
        </w:rPr>
        <w:t>A recolha far-se-á por questionário estruturado de auto-preenchimento, anónimo, aplicado em sala de aula sob supervisão da equipa de investigação. O instrumento não é construído de raiz: resulta da reunião de módulos de escalas previamente validadas, o que preserva a comparabilidade dos resultados e dispensa a validação integral de um questionário novo. O questionário organiza-se em sete secções, apresentadas no Apêndice A.</w:t>
      </w:r>
    </w:p>
    <w:p>
      <w:pPr>
        <w:pStyle w:val="ListBullet"/>
        <w:spacing w:line="360" w:lineRule="auto" w:after="60" w:before="0"/>
        <w:jc w:val="both"/>
      </w:pPr>
      <w:r>
        <w:rPr>
          <w:rFonts w:ascii="Times New Roman" w:hAnsi="Times New Roman" w:cs="Times New Roman" w:eastAsia="Times New Roman"/>
          <w:b w:val="0"/>
          <w:i w:val="0"/>
          <w:color w:val="000000"/>
          <w:sz w:val="24"/>
        </w:rPr>
        <w:t>Secção I, dados sociodemográficos e escolares, construída para este estudo a partir das variáveis do quadro 2;</w:t>
      </w:r>
    </w:p>
    <w:p>
      <w:pPr>
        <w:pStyle w:val="ListBullet"/>
        <w:spacing w:line="360" w:lineRule="auto" w:after="60" w:before="0"/>
        <w:jc w:val="both"/>
      </w:pPr>
      <w:r>
        <w:rPr>
          <w:rFonts w:ascii="Times New Roman" w:hAnsi="Times New Roman" w:cs="Times New Roman" w:eastAsia="Times New Roman"/>
          <w:b w:val="0"/>
          <w:i w:val="0"/>
          <w:color w:val="000000"/>
          <w:sz w:val="24"/>
        </w:rPr>
        <w:t>Secção II, contexto familiar, com o APGAR familiar de cinco itens para o funcionamento familiar (49) e itens de supervisão e ligação parental do inquérito global de saúde escolar (51);</w:t>
      </w:r>
    </w:p>
    <w:p>
      <w:pPr>
        <w:pStyle w:val="ListBullet"/>
        <w:spacing w:line="360" w:lineRule="auto" w:after="60" w:before="0"/>
        <w:jc w:val="both"/>
      </w:pPr>
      <w:r>
        <w:rPr>
          <w:rFonts w:ascii="Times New Roman" w:hAnsi="Times New Roman" w:cs="Times New Roman" w:eastAsia="Times New Roman"/>
          <w:b w:val="0"/>
          <w:i w:val="0"/>
          <w:color w:val="000000"/>
          <w:sz w:val="24"/>
        </w:rPr>
        <w:t>Secção III, exposição à violência, com itens do questionário internacional de experiências adversas na infância da OMS, relativos ao castigo físico, à violência testemunhada em casa e à violência presenciada na comunidade (50);</w:t>
      </w:r>
    </w:p>
    <w:p>
      <w:pPr>
        <w:pStyle w:val="ListBullet"/>
        <w:spacing w:line="360" w:lineRule="auto" w:after="60" w:before="0"/>
        <w:jc w:val="both"/>
      </w:pPr>
      <w:r>
        <w:rPr>
          <w:rFonts w:ascii="Times New Roman" w:hAnsi="Times New Roman" w:cs="Times New Roman" w:eastAsia="Times New Roman"/>
          <w:b w:val="0"/>
          <w:i w:val="0"/>
          <w:color w:val="000000"/>
          <w:sz w:val="24"/>
        </w:rPr>
        <w:t>Secção IV, contexto escolar e grupo de pares, com itens de vitimização por bullying e de castigo físico na escola, e itens de ligação à escola e de afiliação a pares desviantes (51);</w:t>
      </w:r>
    </w:p>
    <w:p>
      <w:pPr>
        <w:pStyle w:val="ListBullet"/>
        <w:spacing w:line="360" w:lineRule="auto" w:after="60" w:before="0"/>
        <w:jc w:val="both"/>
      </w:pPr>
      <w:r>
        <w:rPr>
          <w:rFonts w:ascii="Times New Roman" w:hAnsi="Times New Roman" w:cs="Times New Roman" w:eastAsia="Times New Roman"/>
          <w:b w:val="0"/>
          <w:i w:val="0"/>
          <w:color w:val="000000"/>
          <w:sz w:val="24"/>
        </w:rPr>
        <w:t>Secção V, consumo de substâncias psicoactivas, com itens de álcool, tabaco e outras drogas do inquérito global de saúde escolar (51);</w:t>
      </w:r>
    </w:p>
    <w:p>
      <w:pPr>
        <w:pStyle w:val="ListBullet"/>
        <w:spacing w:line="360" w:lineRule="auto" w:after="60" w:before="0"/>
        <w:jc w:val="both"/>
      </w:pPr>
      <w:r>
        <w:rPr>
          <w:rFonts w:ascii="Times New Roman" w:hAnsi="Times New Roman" w:cs="Times New Roman" w:eastAsia="Times New Roman"/>
          <w:b w:val="0"/>
          <w:i w:val="0"/>
          <w:color w:val="000000"/>
          <w:sz w:val="24"/>
        </w:rPr>
        <w:t>Secção VI, sintomas emocionais, com a subescala de cinco itens do Questionário de Capacidades e de Dificuldades (52);</w:t>
      </w:r>
    </w:p>
    <w:p>
      <w:pPr>
        <w:pStyle w:val="ListBullet"/>
        <w:spacing w:line="360" w:lineRule="auto" w:after="60" w:before="0"/>
        <w:jc w:val="both"/>
      </w:pPr>
      <w:r>
        <w:rPr>
          <w:rFonts w:ascii="Times New Roman" w:hAnsi="Times New Roman" w:cs="Times New Roman" w:eastAsia="Times New Roman"/>
          <w:b w:val="0"/>
          <w:i w:val="0"/>
          <w:color w:val="000000"/>
          <w:sz w:val="24"/>
        </w:rPr>
        <w:t>Secção VII, comportamento agressivo, com a forma reduzida de doze itens do Questionário de Agressividade de Buss e Perry, na versão portuguesa validada, e com o Questionário de Agressão Reactiva e Proactiva, de vinte e três itens, igualmente com versão portuguesa validada (25,26).</w:t>
      </w:r>
    </w:p>
    <w:p>
      <w:pPr>
        <w:pStyle w:val="Heading2"/>
        <w:spacing w:line="360" w:lineRule="auto" w:after="120" w:before="120"/>
        <w:jc w:val="left"/>
      </w:pPr>
      <w:r>
        <w:rPr>
          <w:rFonts w:ascii="Times New Roman" w:hAnsi="Times New Roman" w:cs="Times New Roman" w:eastAsia="Times New Roman"/>
          <w:b/>
          <w:i w:val="0"/>
          <w:color w:val="000000"/>
          <w:sz w:val="24"/>
        </w:rPr>
        <w:t>7.8. Adaptação transcultural e validação do instrumento</w:t>
      </w:r>
    </w:p>
    <w:p>
      <w:pPr>
        <w:spacing w:line="360" w:lineRule="auto" w:after="120" w:before="0"/>
        <w:jc w:val="both"/>
      </w:pPr>
      <w:r>
        <w:rPr>
          <w:rFonts w:ascii="Times New Roman" w:hAnsi="Times New Roman" w:cs="Times New Roman" w:eastAsia="Times New Roman"/>
          <w:b w:val="0"/>
          <w:i w:val="0"/>
          <w:color w:val="000000"/>
          <w:sz w:val="24"/>
        </w:rPr>
        <w:t>O conjunto será submetido a adaptação transcultural em quatro etapas. Primeiro, a adequação linguística para português simplificado, acessível a adolescentes com escolaridade secundária inicial e falantes de Emakhuwa como primeira língua, com retroversão de controlo. Segundo, a apreciação por um painel de cinco peritos em psicologia, saúde mental e educação, com cálculo do índice de validade de conteúdo, considerando-se aceitáveis valores iguais ou superiores a 0,80. Terceiro, um pré-teste cognitivo com dez a quinze adolescentes de uma escola não incluída no estudo, para verificar a compreensão dos itens e cronometrar o tempo de preenchimento. Quarto, um estudo-piloto com cerca de trinta participantes, para estimar a consistência interna pelo coeficiente alfa de Cronbach, considerando-se aceitáveis valores iguais ou superiores a 0,70 (48). A aplicação das escalas protegidas por direitos de autor será precedida de pedido formal de autorização aos respectivos autores.</w:t>
      </w:r>
    </w:p>
    <w:p>
      <w:pPr>
        <w:pStyle w:val="Heading2"/>
        <w:spacing w:line="360" w:lineRule="auto" w:after="120" w:before="120"/>
        <w:jc w:val="left"/>
      </w:pPr>
      <w:r>
        <w:rPr>
          <w:rFonts w:ascii="Times New Roman" w:hAnsi="Times New Roman" w:cs="Times New Roman" w:eastAsia="Times New Roman"/>
          <w:b/>
          <w:i w:val="0"/>
          <w:color w:val="000000"/>
          <w:sz w:val="24"/>
        </w:rPr>
        <w:t>7.9. Procedimentos de recolha de dados</w:t>
      </w:r>
    </w:p>
    <w:p>
      <w:pPr>
        <w:spacing w:line="360" w:lineRule="auto" w:after="120" w:before="0"/>
        <w:jc w:val="both"/>
      </w:pPr>
      <w:r>
        <w:rPr>
          <w:rFonts w:ascii="Times New Roman" w:hAnsi="Times New Roman" w:cs="Times New Roman" w:eastAsia="Times New Roman"/>
          <w:b w:val="0"/>
          <w:i w:val="0"/>
          <w:color w:val="000000"/>
          <w:sz w:val="24"/>
        </w:rPr>
        <w:t>Após a aprovação ética e as autorizações institucionais, a equipa apresentará o estudo à direcção da escola e aos directores de turma. Os termos de consentimento serão enviados aos encarregados de educação com pelo menos sete dias de antecedência, através dos directores de turma, e recolhidos antes da aplicação. No dia marcado, o questionário será aplicado em sala de aula, num período de cerca de trinta minutos, em ambiente que assegure a privacidade das respostas, com os alunos sentados de forma distanciada e sem a presença do professor da turma, de modo a reduzir o efeito de desejabilidade social. Cada questionário será identificado apenas por um código numérico. Os alunos ausentes no dia da aplicação serão contactados numa segunda visita à mesma turma, e a terceira ausência será registada como não resposta. No final, todos os participantes receberão uma folha com informação sobre onde procurar apoio psicológico.</w:t>
      </w:r>
    </w:p>
    <w:p>
      <w:pPr>
        <w:pStyle w:val="Heading2"/>
        <w:spacing w:line="360" w:lineRule="auto" w:after="120" w:before="120"/>
        <w:jc w:val="left"/>
      </w:pPr>
      <w:r>
        <w:rPr>
          <w:rFonts w:ascii="Times New Roman" w:hAnsi="Times New Roman" w:cs="Times New Roman" w:eastAsia="Times New Roman"/>
          <w:b/>
          <w:i w:val="0"/>
          <w:color w:val="000000"/>
          <w:sz w:val="24"/>
        </w:rPr>
        <w:t>7.10. Gestão e análise dos dados</w:t>
      </w:r>
    </w:p>
    <w:p>
      <w:pPr>
        <w:spacing w:line="360" w:lineRule="auto" w:after="120" w:before="0"/>
        <w:jc w:val="both"/>
      </w:pPr>
      <w:r>
        <w:rPr>
          <w:rFonts w:ascii="Times New Roman" w:hAnsi="Times New Roman" w:cs="Times New Roman" w:eastAsia="Times New Roman"/>
          <w:b w:val="0"/>
          <w:i w:val="0"/>
          <w:color w:val="000000"/>
          <w:sz w:val="24"/>
        </w:rPr>
        <w:t>Os questionários serão codificados e introduzidos em dupla entrada numa base de dados, com verificação de consistência e de valores fora de intervalo antes do encerramento da base. A análise será conduzida no programa Statistical Package for the Social Sciences (SPSS), ou em alternativa de acesso livre equivalente, como o R ou o Jamovi.</w:t>
      </w:r>
    </w:p>
    <w:p>
      <w:pPr>
        <w:spacing w:line="360" w:lineRule="auto" w:after="120" w:before="0"/>
        <w:jc w:val="both"/>
      </w:pPr>
      <w:r>
        <w:rPr>
          <w:rFonts w:ascii="Times New Roman" w:hAnsi="Times New Roman" w:cs="Times New Roman" w:eastAsia="Times New Roman"/>
          <w:b w:val="0"/>
          <w:i w:val="0"/>
          <w:color w:val="000000"/>
          <w:sz w:val="24"/>
        </w:rPr>
        <w:t>A análise descritiva incluirá frequências absolutas e relativas, para as variáveis qualitativas, e medidas de tendência central e de dispersão, para as quantitativas, verificando-se a normalidade das distribuições pelo teste de Kolmogorov-Smirnov e pela inspecção gráfica. A consistência interna de cada escala será reportada pelo coeficiente alfa de Cronbach.</w:t>
      </w:r>
    </w:p>
    <w:p>
      <w:pPr>
        <w:spacing w:line="360" w:lineRule="auto" w:after="120" w:before="0"/>
        <w:jc w:val="both"/>
      </w:pPr>
      <w:r>
        <w:rPr>
          <w:rFonts w:ascii="Times New Roman" w:hAnsi="Times New Roman" w:cs="Times New Roman" w:eastAsia="Times New Roman"/>
          <w:b w:val="0"/>
          <w:i w:val="0"/>
          <w:color w:val="000000"/>
          <w:sz w:val="24"/>
        </w:rPr>
        <w:t>Na análise inferencial, a comparação das pontuações médias de agressividade entre grupos recorrerá ao teste t de Student e à análise de variância, ou aos testes de Mann-Whitney e de Kruskal-Wallis quando os pressupostos não se verificarem. A relação entre variáveis quantitativas será examinada pelos coeficientes de correlação de Pearson ou de Spearman. A associação entre os factores psicossociais e a classificação de agressividade elevada será avaliada pelo teste do qui-quadrado de Pearson, ou pelo teste exacto de Fisher quando aplicável.</w:t>
      </w:r>
    </w:p>
    <w:p>
      <w:pPr>
        <w:spacing w:line="360" w:lineRule="auto" w:after="120" w:before="0"/>
        <w:jc w:val="both"/>
      </w:pPr>
      <w:r>
        <w:rPr>
          <w:rFonts w:ascii="Times New Roman" w:hAnsi="Times New Roman" w:cs="Times New Roman" w:eastAsia="Times New Roman"/>
          <w:b w:val="0"/>
          <w:i w:val="0"/>
          <w:color w:val="000000"/>
          <w:sz w:val="24"/>
        </w:rPr>
        <w:t>Seguir-se-á a modelação multivariável. Será ajustada uma regressão linear múltipla, tendo como variável dependente a pontuação total de agressividade, e uma regressão logística binária, tendo como variável dependente a agressividade elevada. Entram no modelo multivariável as variáveis com p inferior a 0,20 na análise bivariada, bem como a idade e o sexo, mantidas por decisão a priori. Serão reportados os coeficientes beta com intervalos de confiança a 95 por cento (IC95%), no modelo linear, e os odds ratio brutos (OR) e ajustados (aOR), com IC95%, no modelo logístico. A multicolinearidade será avaliada pelo factor de inflação da variância, adoptando-se o limiar de 5, e a qualidade de ajustamento do modelo logístico pelo teste de Hosmer e Lemeshow. O nível de significância adoptado é de 5 por cento (p&lt;0,05). Os resultados serão apresentados em tabelas e gráficos, com decimais assinalados por vírgula.</w:t>
      </w:r>
    </w:p>
    <w:p>
      <w:pPr>
        <w:pStyle w:val="Heading2"/>
        <w:spacing w:line="360" w:lineRule="auto" w:after="120" w:before="120"/>
        <w:jc w:val="left"/>
      </w:pPr>
      <w:r>
        <w:rPr>
          <w:rFonts w:ascii="Times New Roman" w:hAnsi="Times New Roman" w:cs="Times New Roman" w:eastAsia="Times New Roman"/>
          <w:b/>
          <w:i w:val="0"/>
          <w:color w:val="000000"/>
          <w:sz w:val="24"/>
        </w:rPr>
        <w:t>7.11. Considerações éticas</w:t>
      </w:r>
    </w:p>
    <w:p>
      <w:pPr>
        <w:spacing w:line="360" w:lineRule="auto" w:after="120" w:before="0"/>
        <w:jc w:val="both"/>
      </w:pPr>
      <w:r>
        <w:rPr>
          <w:rFonts w:ascii="Times New Roman" w:hAnsi="Times New Roman" w:cs="Times New Roman" w:eastAsia="Times New Roman"/>
          <w:b w:val="0"/>
          <w:i w:val="0"/>
          <w:color w:val="000000"/>
          <w:sz w:val="24"/>
        </w:rPr>
        <w:t>A investigação observará os princípios consagrados na Declaração de Helsínquia da Associação Médica Mundial, na sua revisão de 2024 (55). Por envolver menores de idade e abordar temas sensíveis, adoptam-se as salvaguardas seguintes.</w:t>
      </w:r>
    </w:p>
    <w:p>
      <w:pPr>
        <w:pStyle w:val="ListBullet"/>
        <w:spacing w:line="360" w:lineRule="auto" w:after="60" w:before="0"/>
        <w:jc w:val="both"/>
      </w:pPr>
      <w:r>
        <w:rPr>
          <w:rFonts w:ascii="Times New Roman" w:hAnsi="Times New Roman" w:cs="Times New Roman" w:eastAsia="Times New Roman"/>
          <w:b w:val="0"/>
          <w:i w:val="0"/>
          <w:color w:val="000000"/>
          <w:sz w:val="24"/>
        </w:rPr>
        <w:t>Aprovação institucional: o protocolo será submetido ao Comité Institucional de Bioética para a Saúde (CIBS) da Universidade Lúrio (UniLúrio) e, quando aplicável, ao Comité Nacional de Bioética para a Saúde (CNBS), iniciando-se a recolha apenas após parecer favorável e atribuição do respectivo número de referência.</w:t>
      </w:r>
    </w:p>
    <w:p>
      <w:pPr>
        <w:pStyle w:val="ListBullet"/>
        <w:spacing w:line="360" w:lineRule="auto" w:after="60" w:before="0"/>
        <w:jc w:val="both"/>
      </w:pPr>
      <w:r>
        <w:rPr>
          <w:rFonts w:ascii="Times New Roman" w:hAnsi="Times New Roman" w:cs="Times New Roman" w:eastAsia="Times New Roman"/>
          <w:b w:val="0"/>
          <w:i w:val="0"/>
          <w:color w:val="000000"/>
          <w:sz w:val="24"/>
        </w:rPr>
        <w:t>Autorizações locais: serão obtidas as autorizações dos Serviços Distritais de Educação, Juventude e Tecnologia e da direcção da Escola Secundária de Muatala antes de qualquer contacto com os alunos.</w:t>
      </w:r>
    </w:p>
    <w:p>
      <w:pPr>
        <w:pStyle w:val="ListBullet"/>
        <w:spacing w:line="360" w:lineRule="auto" w:after="60" w:before="0"/>
        <w:jc w:val="both"/>
      </w:pPr>
      <w:r>
        <w:rPr>
          <w:rFonts w:ascii="Times New Roman" w:hAnsi="Times New Roman" w:cs="Times New Roman" w:eastAsia="Times New Roman"/>
          <w:b w:val="0"/>
          <w:i w:val="0"/>
          <w:color w:val="000000"/>
          <w:sz w:val="24"/>
        </w:rPr>
        <w:t>Consentimento e assentimento: nos participantes com menos de 18 anos, exige-se o termo de consentimento livre e esclarecido (TCLE) assinado pelo pai, pela mãe ou pelo responsável legal, acompanhado do assentimento do próprio adolescente; nos participantes com 18 ou mais anos, basta o consentimento próprio. A recusa do adolescente prevalece sempre sobre a autorização do responsável.</w:t>
      </w:r>
    </w:p>
    <w:p>
      <w:pPr>
        <w:pStyle w:val="ListBullet"/>
        <w:spacing w:line="360" w:lineRule="auto" w:after="60" w:before="0"/>
        <w:jc w:val="both"/>
      </w:pPr>
      <w:r>
        <w:rPr>
          <w:rFonts w:ascii="Times New Roman" w:hAnsi="Times New Roman" w:cs="Times New Roman" w:eastAsia="Times New Roman"/>
          <w:b w:val="0"/>
          <w:i w:val="0"/>
          <w:color w:val="000000"/>
          <w:sz w:val="24"/>
        </w:rPr>
        <w:t>Confidencialidade e protecção de dados: os questionários são anónimos e identificados apenas por código; as folhas de consentimento serão guardadas em separado das respostas, em armário fechado, e os ficheiros electrónicos protegidos por palavra-passe, com acesso restrito à equipa de investigação.</w:t>
      </w:r>
    </w:p>
    <w:p>
      <w:pPr>
        <w:pStyle w:val="ListBullet"/>
        <w:spacing w:line="360" w:lineRule="auto" w:after="60" w:before="0"/>
        <w:jc w:val="both"/>
      </w:pPr>
      <w:r>
        <w:rPr>
          <w:rFonts w:ascii="Times New Roman" w:hAnsi="Times New Roman" w:cs="Times New Roman" w:eastAsia="Times New Roman"/>
          <w:b w:val="0"/>
          <w:i w:val="0"/>
          <w:color w:val="000000"/>
          <w:sz w:val="24"/>
        </w:rPr>
        <w:t>Gestão do risco emocional: o questionário aborda experiências de violência e pode suscitar desconforto; o participante pode não responder a qualquer pergunta e interromper a participação a qualquer momento, sem prejuízo. Estará presente, em cada sessão, um membro da equipa com formação em primeiros socorros psicológicos.</w:t>
      </w:r>
    </w:p>
    <w:p>
      <w:pPr>
        <w:pStyle w:val="ListBullet"/>
        <w:spacing w:line="360" w:lineRule="auto" w:after="60" w:before="0"/>
        <w:jc w:val="both"/>
      </w:pPr>
      <w:r>
        <w:rPr>
          <w:rFonts w:ascii="Times New Roman" w:hAnsi="Times New Roman" w:cs="Times New Roman" w:eastAsia="Times New Roman"/>
          <w:b w:val="0"/>
          <w:i w:val="0"/>
          <w:color w:val="000000"/>
          <w:sz w:val="24"/>
        </w:rPr>
        <w:t>Via de referenciação: os adolescentes que manifestem sofrimento significativo, risco para si ou para terceiros, ou que revelem situações de violência em curso, serão encaminhados, com o seu conhecimento, para o serviço de psicologia da unidade sanitária de referência e, quando a lei o exija, para os mecanismos de protecção da criança, procedimento que consta expressamente da folha de informação.</w:t>
      </w:r>
    </w:p>
    <w:p>
      <w:pPr>
        <w:pStyle w:val="ListBullet"/>
        <w:spacing w:line="360" w:lineRule="auto" w:after="60" w:before="0"/>
        <w:jc w:val="both"/>
      </w:pPr>
      <w:r>
        <w:rPr>
          <w:rFonts w:ascii="Times New Roman" w:hAnsi="Times New Roman" w:cs="Times New Roman" w:eastAsia="Times New Roman"/>
          <w:b w:val="0"/>
          <w:i w:val="0"/>
          <w:color w:val="000000"/>
          <w:sz w:val="24"/>
        </w:rPr>
        <w:t>Ausência de incentivos: não haverá qualquer pagamento ou benefício material pela participação, evitando-se influência indevida sobre a decisão do adolescente.</w:t>
      </w:r>
    </w:p>
    <w:p>
      <w:pPr>
        <w:pStyle w:val="ListBullet"/>
        <w:spacing w:line="360" w:lineRule="auto" w:after="60" w:before="0"/>
        <w:jc w:val="both"/>
      </w:pPr>
      <w:r>
        <w:rPr>
          <w:rFonts w:ascii="Times New Roman" w:hAnsi="Times New Roman" w:cs="Times New Roman" w:eastAsia="Times New Roman"/>
          <w:b w:val="0"/>
          <w:i w:val="0"/>
          <w:color w:val="000000"/>
          <w:sz w:val="24"/>
        </w:rPr>
        <w:t>Devolução dos resultados: os resultados agregados serão apresentados à escola e à comunidade educativa, sem qualquer identificação individual.</w:t>
      </w:r>
    </w:p>
    <w:p>
      <w:pPr>
        <w:pStyle w:val="Heading2"/>
        <w:spacing w:line="360" w:lineRule="auto" w:after="120" w:before="120"/>
        <w:jc w:val="left"/>
      </w:pPr>
      <w:r>
        <w:rPr>
          <w:rFonts w:ascii="Times New Roman" w:hAnsi="Times New Roman" w:cs="Times New Roman" w:eastAsia="Times New Roman"/>
          <w:b/>
          <w:i w:val="0"/>
          <w:color w:val="000000"/>
          <w:sz w:val="24"/>
        </w:rPr>
        <w:t>7.12. Limitações previstas</w:t>
      </w:r>
    </w:p>
    <w:p>
      <w:pPr>
        <w:spacing w:line="360" w:lineRule="auto" w:after="120" w:before="0"/>
        <w:jc w:val="both"/>
      </w:pPr>
      <w:r>
        <w:rPr>
          <w:rFonts w:ascii="Times New Roman" w:hAnsi="Times New Roman" w:cs="Times New Roman" w:eastAsia="Times New Roman"/>
          <w:b w:val="0"/>
          <w:i w:val="0"/>
          <w:color w:val="000000"/>
          <w:sz w:val="24"/>
        </w:rPr>
        <w:t>Antecipam-se quatro limitações. A primeira decorre do desenho transversal, que não permite estabelecer a direcção temporal das associações. A segunda é o recurso ao auto-relato para medir comportamentos socialmente censurados, o que pode subestimar a agressividade por desejabilidade social; procura-se atenuá-la com o anonimato, a aplicação sem a presença do professor e a inclusão de itens invertidos. A terceira é a restrição da amostra aos adolescentes escolarizados, que exclui os que abandonaram a escola e nos quais a prevalência do problema tende a ser superior, limitando a generalização dos resultados. A quarta é a possibilidade de erro de medida associado à adaptação transcultural dos instrumentos, atenuada pelo painel de peritos, pelo pré-teste cognitivo e pela verificação da consistência interna no estudo-piloto.</w:t>
      </w:r>
    </w:p>
    <w:p>
      <w:pPr>
        <w:pStyle w:val="Heading1"/>
        <w:spacing w:line="360" w:lineRule="auto" w:after="120" w:before="240"/>
        <w:jc w:val="left"/>
      </w:pPr>
      <w:r>
        <w:rPr>
          <w:rFonts w:ascii="Times New Roman" w:hAnsi="Times New Roman" w:cs="Times New Roman" w:eastAsia="Times New Roman"/>
          <w:b/>
          <w:i w:val="0"/>
          <w:color w:val="000000"/>
          <w:sz w:val="26"/>
        </w:rPr>
        <w:t>8. RESULTADOS ESPERADOS</w:t>
      </w:r>
    </w:p>
    <w:p>
      <w:pPr>
        <w:spacing w:line="360" w:lineRule="auto" w:after="120" w:before="0"/>
        <w:jc w:val="both"/>
      </w:pPr>
      <w:r>
        <w:rPr>
          <w:rFonts w:ascii="Times New Roman" w:hAnsi="Times New Roman" w:cs="Times New Roman" w:eastAsia="Times New Roman"/>
          <w:b w:val="0"/>
          <w:i w:val="0"/>
          <w:color w:val="000000"/>
          <w:sz w:val="24"/>
        </w:rPr>
        <w:t>Em coerência com os objectivos específicos, esperam-se os seguintes resultados.</w:t>
      </w:r>
    </w:p>
    <w:p>
      <w:pPr>
        <w:pStyle w:val="ListBullet"/>
        <w:spacing w:line="360" w:lineRule="auto" w:after="60" w:before="0"/>
        <w:jc w:val="both"/>
      </w:pPr>
      <w:r>
        <w:rPr>
          <w:rFonts w:ascii="Times New Roman" w:hAnsi="Times New Roman" w:cs="Times New Roman" w:eastAsia="Times New Roman"/>
          <w:b w:val="0"/>
          <w:i w:val="0"/>
          <w:color w:val="000000"/>
          <w:sz w:val="24"/>
        </w:rPr>
        <w:t>Um perfil sociodemográfico e escolar caracterizado dos adolescentes da Escola Secundária de Muatala, por idade, sexo, classe, situação familiar e percurso escolar.</w:t>
      </w:r>
    </w:p>
    <w:p>
      <w:pPr>
        <w:pStyle w:val="ListBullet"/>
        <w:spacing w:line="360" w:lineRule="auto" w:after="60" w:before="0"/>
        <w:jc w:val="both"/>
      </w:pPr>
      <w:r>
        <w:rPr>
          <w:rFonts w:ascii="Times New Roman" w:hAnsi="Times New Roman" w:cs="Times New Roman" w:eastAsia="Times New Roman"/>
          <w:b w:val="0"/>
          <w:i w:val="0"/>
          <w:color w:val="000000"/>
          <w:sz w:val="24"/>
        </w:rPr>
        <w:t>A estimativa do nível de comportamento agressivo e do seu perfil por dimensão, com a identificação da proporção de adolescentes com agressividade elevada e a distinção entre agressão reactiva e proactiva.</w:t>
      </w:r>
    </w:p>
    <w:p>
      <w:pPr>
        <w:pStyle w:val="ListBullet"/>
        <w:spacing w:line="360" w:lineRule="auto" w:after="60" w:before="0"/>
        <w:jc w:val="both"/>
      </w:pPr>
      <w:r>
        <w:rPr>
          <w:rFonts w:ascii="Times New Roman" w:hAnsi="Times New Roman" w:cs="Times New Roman" w:eastAsia="Times New Roman"/>
          <w:b w:val="0"/>
          <w:i w:val="0"/>
          <w:color w:val="000000"/>
          <w:sz w:val="24"/>
        </w:rPr>
        <w:t>A descrição da frequência dos factores familiares em estudo, esperando-se encontrar proporções relevantes de castigo físico em casa e de exposição a violência entre adultos do agregado, em linha com os dados nacionais (10).</w:t>
      </w:r>
    </w:p>
    <w:p>
      <w:pPr>
        <w:pStyle w:val="ListBullet"/>
        <w:spacing w:line="360" w:lineRule="auto" w:after="60" w:before="0"/>
        <w:jc w:val="both"/>
      </w:pPr>
      <w:r>
        <w:rPr>
          <w:rFonts w:ascii="Times New Roman" w:hAnsi="Times New Roman" w:cs="Times New Roman" w:eastAsia="Times New Roman"/>
          <w:b w:val="0"/>
          <w:i w:val="0"/>
          <w:color w:val="000000"/>
          <w:sz w:val="24"/>
        </w:rPr>
        <w:t>A descrição dos factores escolares, do grupo de pares e comunitários, incluindo a prevalência de vitimização por bullying, de afiliação a pares desviantes e de consumo de substâncias psicoactivas.</w:t>
      </w:r>
    </w:p>
    <w:p>
      <w:pPr>
        <w:pStyle w:val="ListBullet"/>
        <w:spacing w:line="360" w:lineRule="auto" w:after="60" w:before="0"/>
        <w:jc w:val="both"/>
      </w:pPr>
      <w:r>
        <w:rPr>
          <w:rFonts w:ascii="Times New Roman" w:hAnsi="Times New Roman" w:cs="Times New Roman" w:eastAsia="Times New Roman"/>
          <w:b w:val="0"/>
          <w:i w:val="0"/>
          <w:color w:val="000000"/>
          <w:sz w:val="24"/>
        </w:rPr>
        <w:t>A identificação dos factores psicossociais que se mantêm independentemente associados ao comportamento agressivo após ajustamento mútuo, com estimativas quantificadas e intervalos de confiança, testando as hipóteses formuladas.</w:t>
      </w:r>
    </w:p>
    <w:p>
      <w:pPr>
        <w:pStyle w:val="ListBullet"/>
        <w:spacing w:line="360" w:lineRule="auto" w:after="60" w:before="0"/>
        <w:jc w:val="both"/>
      </w:pPr>
      <w:r>
        <w:rPr>
          <w:rFonts w:ascii="Times New Roman" w:hAnsi="Times New Roman" w:cs="Times New Roman" w:eastAsia="Times New Roman"/>
          <w:b w:val="0"/>
          <w:i w:val="0"/>
          <w:color w:val="000000"/>
          <w:sz w:val="24"/>
        </w:rPr>
        <w:t>Um conjunto de recomendações operacionais para a escola, para os serviços distritais de educação e de saúde e para as famílias, alinhadas com as estratégias INSPIRE, e um contributo metodológico sobre o desempenho psicométrico dos instrumentos usados em adolescentes moçambicanos (17).</w:t>
      </w:r>
    </w:p>
    <w:p>
      <w:pPr>
        <w:pStyle w:val="Heading1"/>
        <w:spacing w:line="360" w:lineRule="auto" w:after="120" w:before="240"/>
        <w:jc w:val="left"/>
      </w:pPr>
      <w:r>
        <w:rPr>
          <w:rFonts w:ascii="Times New Roman" w:hAnsi="Times New Roman" w:cs="Times New Roman" w:eastAsia="Times New Roman"/>
          <w:b/>
          <w:i w:val="0"/>
          <w:color w:val="000000"/>
          <w:sz w:val="26"/>
        </w:rPr>
        <w:t>9. DIVULGAÇÃO DOS RESULTADOS</w:t>
      </w:r>
    </w:p>
    <w:p>
      <w:pPr>
        <w:spacing w:line="360" w:lineRule="auto" w:after="120" w:before="0"/>
        <w:jc w:val="both"/>
      </w:pPr>
      <w:r>
        <w:rPr>
          <w:rFonts w:ascii="Times New Roman" w:hAnsi="Times New Roman" w:cs="Times New Roman" w:eastAsia="Times New Roman"/>
          <w:b w:val="0"/>
          <w:i w:val="0"/>
          <w:color w:val="000000"/>
          <w:sz w:val="24"/>
        </w:rPr>
        <w:t>Os resultados serão divulgados por quatro vias. Em primeiro lugar, o trabalho será apresentado e defendido publicamente perante um júri da Faculdade de Ciências de Saúde (FCS) da Universidade Lúrio, como requisito para a obtenção do grau de licenciado em Psicologia. Em segundo lugar, realizar-se-á uma sessão de devolução na Escola Secundária de Muatala, dirigida à direcção, aos professores, aos alunos e aos encarregados de educação, com apresentação dos resultados agregados e discussão das recomendações. Em terceiro lugar, será entregue um relatório executivo aos Serviços Distritais de Educação, Juventude e Tecnologia e aos serviços de saúde da cidade de Nampula. Em quarto lugar, procurar-se-á a publicação dos principais achados em revista científica revista por pares, na área da psicologia ou da saúde pública, e a sua apresentação em jornadas científicas nacionais.</w:t>
      </w:r>
    </w:p>
    <w:p>
      <w:pPr>
        <w:pStyle w:val="Heading1"/>
        <w:spacing w:line="360" w:lineRule="auto" w:after="120" w:before="240"/>
        <w:jc w:val="left"/>
      </w:pPr>
      <w:r>
        <w:rPr>
          <w:rFonts w:ascii="Times New Roman" w:hAnsi="Times New Roman" w:cs="Times New Roman" w:eastAsia="Times New Roman"/>
          <w:b/>
          <w:i w:val="0"/>
          <w:color w:val="000000"/>
          <w:sz w:val="26"/>
        </w:rPr>
        <w:t>10. CRONOGRAMA DE ACTIVIDADES</w:t>
      </w:r>
    </w:p>
    <w:p>
      <w:pPr>
        <w:spacing w:line="360" w:lineRule="auto" w:after="120" w:before="0"/>
        <w:jc w:val="both"/>
      </w:pPr>
      <w:r>
        <w:rPr>
          <w:rFonts w:ascii="Times New Roman" w:hAnsi="Times New Roman" w:cs="Times New Roman" w:eastAsia="Times New Roman"/>
          <w:b w:val="0"/>
          <w:i w:val="0"/>
          <w:color w:val="000000"/>
          <w:sz w:val="24"/>
        </w:rPr>
        <w:t>O cronograma foi construído de modo a que a recolha de dados coincida com o segundo semestre do ano lectivo de 2026, fora da época de exames.</w:t>
      </w:r>
    </w:p>
    <w:p>
      <w:pPr>
        <w:spacing w:line="240" w:lineRule="auto" w:after="60" w:before="0"/>
        <w:jc w:val="left"/>
      </w:pPr>
      <w:r>
        <w:rPr>
          <w:rFonts w:ascii="Times New Roman" w:hAnsi="Times New Roman" w:cs="Times New Roman" w:eastAsia="Times New Roman"/>
          <w:b w:val="0"/>
          <w:i w:val="0"/>
          <w:color w:val="000000"/>
          <w:sz w:val="22"/>
        </w:rPr>
        <w:t>Quadro 3: Cronograma de actividades, de Julho de 2026 a Março de 2027.</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rPr>
          <w:tblHeader/>
        </w:trPr>
        <w:tc>
          <w:tcPr>
            <w:tcW w:type="dxa" w:w="2948"/>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0"/>
              </w:rPr>
              <w:t>Actividade</w:t>
            </w:r>
          </w:p>
        </w:tc>
        <w:tc>
          <w:tcPr>
            <w:tcW w:type="dxa" w:w="1020"/>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0"/>
              </w:rPr>
              <w:t>Jul-Ago 2026</w:t>
            </w:r>
          </w:p>
        </w:tc>
        <w:tc>
          <w:tcPr>
            <w:tcW w:type="dxa" w:w="850"/>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0"/>
              </w:rPr>
              <w:t>Set 2026</w:t>
            </w:r>
          </w:p>
        </w:tc>
        <w:tc>
          <w:tcPr>
            <w:tcW w:type="dxa" w:w="1134"/>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0"/>
              </w:rPr>
              <w:t>Out-Nov 2026</w:t>
            </w:r>
          </w:p>
        </w:tc>
        <w:tc>
          <w:tcPr>
            <w:tcW w:type="dxa" w:w="850"/>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0"/>
              </w:rPr>
              <w:t>Dez 2026</w:t>
            </w:r>
          </w:p>
        </w:tc>
        <w:tc>
          <w:tcPr>
            <w:tcW w:type="dxa" w:w="1020"/>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0"/>
              </w:rPr>
              <w:t>Jan-Fev 2027</w:t>
            </w:r>
          </w:p>
        </w:tc>
        <w:tc>
          <w:tcPr>
            <w:tcW w:type="dxa" w:w="850"/>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0"/>
              </w:rPr>
              <w:t>Mar 2027</w:t>
            </w:r>
          </w:p>
        </w:tc>
      </w:tr>
      <w:tr>
        <w:tc>
          <w:tcPr>
            <w:tcW w:type="dxa" w:w="294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Revisão da literatura e elaboração do protocolo</w:t>
            </w:r>
          </w:p>
        </w:tc>
        <w:tc>
          <w:tcPr>
            <w:tcW w:type="dxa" w:w="102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X</w:t>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113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102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r>
      <w:tr>
        <w:tc>
          <w:tcPr>
            <w:tcW w:type="dxa" w:w="294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Submissão e aprovação pelo comité de bioética</w:t>
            </w:r>
          </w:p>
        </w:tc>
        <w:tc>
          <w:tcPr>
            <w:tcW w:type="dxa" w:w="102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X</w:t>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X</w:t>
            </w:r>
          </w:p>
        </w:tc>
        <w:tc>
          <w:tcPr>
            <w:tcW w:type="dxa" w:w="113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102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r>
      <w:tr>
        <w:tc>
          <w:tcPr>
            <w:tcW w:type="dxa" w:w="294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Autorizações da direcção distrital e da escola</w:t>
            </w:r>
          </w:p>
        </w:tc>
        <w:tc>
          <w:tcPr>
            <w:tcW w:type="dxa" w:w="102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X</w:t>
            </w:r>
          </w:p>
        </w:tc>
        <w:tc>
          <w:tcPr>
            <w:tcW w:type="dxa" w:w="113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102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r>
      <w:tr>
        <w:tc>
          <w:tcPr>
            <w:tcW w:type="dxa" w:w="294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Adaptação transcultural do instrumento e painel de peritos</w:t>
            </w:r>
          </w:p>
        </w:tc>
        <w:tc>
          <w:tcPr>
            <w:tcW w:type="dxa" w:w="102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X</w:t>
            </w:r>
          </w:p>
        </w:tc>
        <w:tc>
          <w:tcPr>
            <w:tcW w:type="dxa" w:w="113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102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r>
      <w:tr>
        <w:tc>
          <w:tcPr>
            <w:tcW w:type="dxa" w:w="294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Pré-teste e estudo-piloto</w:t>
            </w:r>
          </w:p>
        </w:tc>
        <w:tc>
          <w:tcPr>
            <w:tcW w:type="dxa" w:w="102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X</w:t>
            </w:r>
          </w:p>
        </w:tc>
        <w:tc>
          <w:tcPr>
            <w:tcW w:type="dxa" w:w="113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102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r>
      <w:tr>
        <w:tc>
          <w:tcPr>
            <w:tcW w:type="dxa" w:w="294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Recolha de dados na escola</w:t>
            </w:r>
          </w:p>
        </w:tc>
        <w:tc>
          <w:tcPr>
            <w:tcW w:type="dxa" w:w="102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113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X</w:t>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102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r>
      <w:tr>
        <w:tc>
          <w:tcPr>
            <w:tcW w:type="dxa" w:w="294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Introdução, limpeza e validação da base de dados</w:t>
            </w:r>
          </w:p>
        </w:tc>
        <w:tc>
          <w:tcPr>
            <w:tcW w:type="dxa" w:w="102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113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X</w:t>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X</w:t>
            </w:r>
          </w:p>
        </w:tc>
        <w:tc>
          <w:tcPr>
            <w:tcW w:type="dxa" w:w="102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r>
      <w:tr>
        <w:tc>
          <w:tcPr>
            <w:tcW w:type="dxa" w:w="294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Análise estatística</w:t>
            </w:r>
          </w:p>
        </w:tc>
        <w:tc>
          <w:tcPr>
            <w:tcW w:type="dxa" w:w="102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113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X</w:t>
            </w:r>
          </w:p>
        </w:tc>
        <w:tc>
          <w:tcPr>
            <w:tcW w:type="dxa" w:w="102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r>
      <w:tr>
        <w:tc>
          <w:tcPr>
            <w:tcW w:type="dxa" w:w="2948"/>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Redacção do relatório final</w:t>
            </w:r>
          </w:p>
        </w:tc>
        <w:tc>
          <w:tcPr>
            <w:tcW w:type="dxa" w:w="102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113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102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X</w:t>
            </w:r>
          </w:p>
        </w:tc>
        <w:tc>
          <w:tcPr>
            <w:tcW w:type="dxa" w:w="85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r>
      <w:tr>
        <w:tc>
          <w:tcPr>
            <w:tcW w:type="dxa" w:w="2948"/>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Entrega, defesa e devolução dos resultados à escola</w:t>
            </w:r>
          </w:p>
        </w:tc>
        <w:tc>
          <w:tcPr>
            <w:tcW w:type="dxa" w:w="1020"/>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1134"/>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1020"/>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r>
          </w:p>
        </w:tc>
        <w:tc>
          <w:tcPr>
            <w:tcW w:type="dxa" w:w="850"/>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X</w:t>
            </w:r>
          </w:p>
        </w:tc>
      </w:tr>
    </w:tbl>
    <w:p>
      <w:pPr>
        <w:spacing w:line="240" w:lineRule="auto" w:after="240" w:before="0"/>
        <w:jc w:val="left"/>
      </w:pPr>
      <w:r>
        <w:rPr>
          <w:rFonts w:ascii="Times New Roman" w:hAnsi="Times New Roman" w:cs="Times New Roman" w:eastAsia="Times New Roman"/>
          <w:b w:val="0"/>
          <w:i w:val="0"/>
          <w:color w:val="000000"/>
          <w:sz w:val="20"/>
        </w:rPr>
        <w:t>Fonte: o autor, 2026.</w:t>
      </w:r>
    </w:p>
    <w:p>
      <w:pPr>
        <w:pStyle w:val="Heading1"/>
        <w:spacing w:line="360" w:lineRule="auto" w:after="120" w:before="240"/>
        <w:jc w:val="left"/>
      </w:pPr>
      <w:r>
        <w:rPr>
          <w:rFonts w:ascii="Times New Roman" w:hAnsi="Times New Roman" w:cs="Times New Roman" w:eastAsia="Times New Roman"/>
          <w:b/>
          <w:i w:val="0"/>
          <w:color w:val="000000"/>
          <w:sz w:val="26"/>
        </w:rPr>
        <w:t>11. ORÇAMENTO</w:t>
      </w:r>
    </w:p>
    <w:p>
      <w:pPr>
        <w:spacing w:line="360" w:lineRule="auto" w:after="120" w:before="0"/>
        <w:jc w:val="both"/>
      </w:pPr>
      <w:r>
        <w:rPr>
          <w:rFonts w:ascii="Times New Roman" w:hAnsi="Times New Roman" w:cs="Times New Roman" w:eastAsia="Times New Roman"/>
          <w:b w:val="0"/>
          <w:i w:val="0"/>
          <w:color w:val="000000"/>
          <w:sz w:val="24"/>
        </w:rPr>
        <w:t>O orçamento estimado cobre a totalidade das despesas previstas, desde a impressão dos instrumentos até à devolução dos resultados à escola. Os valores estão expressos em meticais e serão suportados pelo investigador, salvo apoio institucional que venha a ser concedido.</w:t>
      </w:r>
    </w:p>
    <w:p>
      <w:pPr>
        <w:spacing w:line="240" w:lineRule="auto" w:after="60" w:before="0"/>
        <w:jc w:val="left"/>
      </w:pPr>
      <w:r>
        <w:rPr>
          <w:rFonts w:ascii="Times New Roman" w:hAnsi="Times New Roman" w:cs="Times New Roman" w:eastAsia="Times New Roman"/>
          <w:b w:val="0"/>
          <w:i w:val="0"/>
          <w:color w:val="000000"/>
          <w:sz w:val="22"/>
        </w:rPr>
        <w:t>Quadro 4: Orçamento estimado do estudo.</w:t>
      </w:r>
    </w:p>
    <w:tbl>
      <w:tblPr>
        <w:tblW w:type="auto" w:w="0"/>
        <w:jc w:val="center"/>
        <w:tblLook w:firstColumn="1" w:firstRow="1" w:lastColumn="0" w:lastRow="0" w:noHBand="0" w:noVBand="1" w:val="04A0"/>
      </w:tblPr>
      <w:tblGrid>
        <w:gridCol w:w="2268"/>
        <w:gridCol w:w="2268"/>
        <w:gridCol w:w="2268"/>
        <w:gridCol w:w="2268"/>
      </w:tblGrid>
      <w:tr>
        <w:trPr>
          <w:tblHeader/>
        </w:trPr>
        <w:tc>
          <w:tcPr>
            <w:tcW w:type="dxa" w:w="3969"/>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2"/>
              </w:rPr>
              <w:t>Rubrica</w:t>
            </w:r>
          </w:p>
        </w:tc>
        <w:tc>
          <w:tcPr>
            <w:tcW w:type="dxa" w:w="1701"/>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2"/>
              </w:rPr>
              <w:t>Quantidade</w:t>
            </w:r>
          </w:p>
        </w:tc>
        <w:tc>
          <w:tcPr>
            <w:tcW w:type="dxa" w:w="1701"/>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2"/>
              </w:rPr>
              <w:t>Custo unitário (MZN)</w:t>
            </w:r>
          </w:p>
        </w:tc>
        <w:tc>
          <w:tcPr>
            <w:tcW w:type="dxa" w:w="1701"/>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2"/>
              </w:rPr>
              <w:t>Custo total (MZN)</w:t>
            </w:r>
          </w:p>
        </w:tc>
      </w:tr>
      <w:tr>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Impressão de questionários e de termos de consentimento</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1.200 exemplares</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15</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18.000</w:t>
            </w:r>
          </w:p>
        </w:tc>
      </w:tr>
      <w:tr>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Material de escritório e de codificação</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1 conjunto</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4.000</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4.000</w:t>
            </w:r>
          </w:p>
        </w:tc>
      </w:tr>
      <w:tr>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Transporte da equipa para a escola</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25 deslocações</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400</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10.000</w:t>
            </w:r>
          </w:p>
        </w:tc>
      </w:tr>
      <w:tr>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Comunicação, telefone e Internet</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5 meses</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1.500</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7.500</w:t>
            </w:r>
          </w:p>
        </w:tc>
      </w:tr>
      <w:tr>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Alimentação da equipa no terreno</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20 dias</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400</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8.000</w:t>
            </w:r>
          </w:p>
        </w:tc>
      </w:tr>
      <w:tr>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Honorários de assistentes de recolha de dados</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3 pessoas</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9.000</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27.000</w:t>
            </w:r>
          </w:p>
        </w:tc>
      </w:tr>
      <w:tr>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Formação e pré-teste</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1 sessão</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5.000</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5.000</w:t>
            </w:r>
          </w:p>
        </w:tc>
      </w:tr>
      <w:tr>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Sessão de devolução dos resultados à escola</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1 sessão</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6.000</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6.000</w:t>
            </w:r>
          </w:p>
        </w:tc>
      </w:tr>
      <w:tr>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Impressão e encadernação do relatório final</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8 exemplares</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1.200</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9.600</w:t>
            </w:r>
          </w:p>
        </w:tc>
      </w:tr>
      <w:tr>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Imprevistos, 10 por cento</w:t>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r>
          </w:p>
        </w:tc>
        <w:tc>
          <w:tcPr>
            <w:tcW w:type="dxa" w:w="1701"/>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9.510</w:t>
            </w:r>
          </w:p>
        </w:tc>
      </w:tr>
      <w:tr>
        <w:tc>
          <w:tcPr>
            <w:tcW w:type="dxa" w:w="3969"/>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Total geral</w:t>
            </w:r>
          </w:p>
        </w:tc>
        <w:tc>
          <w:tcPr>
            <w:tcW w:type="dxa" w:w="1701"/>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r>
          </w:p>
        </w:tc>
        <w:tc>
          <w:tcPr>
            <w:tcW w:type="dxa" w:w="1701"/>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r>
          </w:p>
        </w:tc>
        <w:tc>
          <w:tcPr>
            <w:tcW w:type="dxa" w:w="1701"/>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104.610</w:t>
            </w:r>
          </w:p>
        </w:tc>
      </w:tr>
    </w:tbl>
    <w:p>
      <w:pPr>
        <w:spacing w:line="240" w:lineRule="auto" w:after="240" w:before="0"/>
        <w:jc w:val="left"/>
      </w:pPr>
      <w:r>
        <w:rPr>
          <w:rFonts w:ascii="Times New Roman" w:hAnsi="Times New Roman" w:cs="Times New Roman" w:eastAsia="Times New Roman"/>
          <w:b w:val="0"/>
          <w:i w:val="0"/>
          <w:color w:val="000000"/>
          <w:sz w:val="20"/>
        </w:rPr>
        <w:t>Fonte: o autor, 2026. MZN: metical moçambicano.</w:t>
      </w:r>
    </w:p>
    <w:p>
      <w:pPr>
        <w:pStyle w:val="Heading1"/>
        <w:spacing w:line="360" w:lineRule="auto" w:after="120" w:before="240"/>
        <w:jc w:val="left"/>
      </w:pPr>
      <w:r>
        <w:rPr>
          <w:rFonts w:ascii="Times New Roman" w:hAnsi="Times New Roman" w:cs="Times New Roman" w:eastAsia="Times New Roman"/>
          <w:b/>
          <w:i w:val="0"/>
          <w:color w:val="000000"/>
          <w:sz w:val="26"/>
        </w:rPr>
        <w:t>12. RECURSOS HUMANOS</w:t>
      </w:r>
    </w:p>
    <w:p>
      <w:pPr>
        <w:spacing w:line="240" w:lineRule="auto" w:after="60" w:before="0"/>
        <w:jc w:val="left"/>
      </w:pPr>
      <w:r>
        <w:rPr>
          <w:rFonts w:ascii="Times New Roman" w:hAnsi="Times New Roman" w:cs="Times New Roman" w:eastAsia="Times New Roman"/>
          <w:b w:val="0"/>
          <w:i w:val="0"/>
          <w:color w:val="000000"/>
          <w:sz w:val="22"/>
        </w:rPr>
        <w:t>Quadro 5: Recursos humanos afectos ao estudo.</w:t>
      </w:r>
    </w:p>
    <w:tbl>
      <w:tblPr>
        <w:tblW w:type="auto" w:w="0"/>
        <w:jc w:val="center"/>
        <w:tblLook w:firstColumn="1" w:firstRow="1" w:lastColumn="0" w:lastRow="0" w:noHBand="0" w:noVBand="1" w:val="04A0"/>
      </w:tblPr>
      <w:tblGrid>
        <w:gridCol w:w="3024"/>
        <w:gridCol w:w="3024"/>
        <w:gridCol w:w="3024"/>
      </w:tblGrid>
      <w:tr>
        <w:trPr>
          <w:tblHeader/>
        </w:trPr>
        <w:tc>
          <w:tcPr>
            <w:tcW w:type="dxa" w:w="2494"/>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2"/>
              </w:rPr>
              <w:t>Interveniente</w:t>
            </w:r>
          </w:p>
        </w:tc>
        <w:tc>
          <w:tcPr>
            <w:tcW w:type="dxa" w:w="3175"/>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2"/>
              </w:rPr>
              <w:t>Categoria</w:t>
            </w:r>
          </w:p>
        </w:tc>
        <w:tc>
          <w:tcPr>
            <w:tcW w:type="dxa" w:w="3402"/>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2"/>
              </w:rPr>
              <w:t>Função</w:t>
            </w:r>
          </w:p>
        </w:tc>
      </w:tr>
      <w:tr>
        <w:tc>
          <w:tcPr>
            <w:tcW w:type="dxa" w:w="249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(nome do estudante)</w:t>
            </w:r>
          </w:p>
        </w:tc>
        <w:tc>
          <w:tcPr>
            <w:tcW w:type="dxa" w:w="3175"/>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Estudante finalista de Psicologia</w:t>
            </w:r>
          </w:p>
        </w:tc>
        <w:tc>
          <w:tcPr>
            <w:tcW w:type="dxa" w:w="340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Investigador principal</w:t>
            </w:r>
          </w:p>
        </w:tc>
      </w:tr>
      <w:tr>
        <w:tc>
          <w:tcPr>
            <w:tcW w:type="dxa" w:w="249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(nome do orientador)</w:t>
            </w:r>
          </w:p>
        </w:tc>
        <w:tc>
          <w:tcPr>
            <w:tcW w:type="dxa" w:w="3175"/>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Docente da Faculdade de Ciências de Saúde</w:t>
            </w:r>
          </w:p>
        </w:tc>
        <w:tc>
          <w:tcPr>
            <w:tcW w:type="dxa" w:w="340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Orientação científica</w:t>
            </w:r>
          </w:p>
        </w:tc>
      </w:tr>
      <w:tr>
        <w:tc>
          <w:tcPr>
            <w:tcW w:type="dxa" w:w="249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Assistentes de recolha</w:t>
            </w:r>
          </w:p>
        </w:tc>
        <w:tc>
          <w:tcPr>
            <w:tcW w:type="dxa" w:w="3175"/>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Estudantes de Psicologia ou de Ciências de Saúde</w:t>
            </w:r>
          </w:p>
        </w:tc>
        <w:tc>
          <w:tcPr>
            <w:tcW w:type="dxa" w:w="340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Aplicação dos questionários e controlo de qualidade</w:t>
            </w:r>
          </w:p>
        </w:tc>
      </w:tr>
      <w:tr>
        <w:tc>
          <w:tcPr>
            <w:tcW w:type="dxa" w:w="249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Psicólogo de referência</w:t>
            </w:r>
          </w:p>
        </w:tc>
        <w:tc>
          <w:tcPr>
            <w:tcW w:type="dxa" w:w="3175"/>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Profissional da unidade sanitária ou do serviço distrital</w:t>
            </w:r>
          </w:p>
        </w:tc>
        <w:tc>
          <w:tcPr>
            <w:tcW w:type="dxa" w:w="340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Acolhimento e encaminhamento dos casos identificados</w:t>
            </w:r>
          </w:p>
        </w:tc>
      </w:tr>
      <w:tr>
        <w:tc>
          <w:tcPr>
            <w:tcW w:type="dxa" w:w="2494"/>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Direcção da escola</w:t>
            </w:r>
          </w:p>
        </w:tc>
        <w:tc>
          <w:tcPr>
            <w:tcW w:type="dxa" w:w="3175"/>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Direcção da Escola Secundária de Muatala</w:t>
            </w:r>
          </w:p>
        </w:tc>
        <w:tc>
          <w:tcPr>
            <w:tcW w:type="dxa" w:w="3402"/>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2"/>
              </w:rPr>
              <w:t>Autorização, articulação logística e devolução dos resultados</w:t>
            </w:r>
          </w:p>
        </w:tc>
      </w:tr>
    </w:tbl>
    <w:p>
      <w:pPr>
        <w:spacing w:line="240" w:lineRule="auto" w:after="240" w:before="0"/>
        <w:jc w:val="left"/>
      </w:pPr>
      <w:r>
        <w:rPr>
          <w:rFonts w:ascii="Times New Roman" w:hAnsi="Times New Roman" w:cs="Times New Roman" w:eastAsia="Times New Roman"/>
          <w:b w:val="0"/>
          <w:i w:val="0"/>
          <w:color w:val="000000"/>
          <w:sz w:val="20"/>
        </w:rPr>
        <w:t>Fonte: o autor, 2026.</w:t>
      </w:r>
    </w:p>
    <w:p>
      <w:pPr>
        <w:spacing w:line="240" w:lineRule="auto" w:after="0" w:before="0"/>
        <w:jc w:val="left"/>
      </w:pPr>
      <w:r>
        <w:br w:type="page"/>
      </w:r>
    </w:p>
    <w:p>
      <w:pPr>
        <w:pStyle w:val="Heading1"/>
        <w:spacing w:line="360" w:lineRule="auto" w:after="120" w:before="240"/>
        <w:jc w:val="left"/>
      </w:pPr>
      <w:r>
        <w:rPr>
          <w:rFonts w:ascii="Times New Roman" w:hAnsi="Times New Roman" w:cs="Times New Roman" w:eastAsia="Times New Roman"/>
          <w:b/>
          <w:i w:val="0"/>
          <w:color w:val="000000"/>
          <w:sz w:val="26"/>
        </w:rPr>
        <w:t>REFERÊNCIAS BIBLIOGRÁFICAS</w:t>
      </w:r>
    </w:p>
    <w:p>
      <w:pPr>
        <w:spacing w:line="240" w:lineRule="auto" w:after="200" w:before="0"/>
        <w:jc w:val="both"/>
      </w:pPr>
      <w:r>
        <w:rPr>
          <w:rFonts w:ascii="Times New Roman" w:hAnsi="Times New Roman" w:cs="Times New Roman" w:eastAsia="Times New Roman"/>
          <w:b w:val="0"/>
          <w:i/>
          <w:color w:val="000000"/>
          <w:sz w:val="22"/>
        </w:rPr>
        <w:t>As referências são apresentadas na norma de Vancouver, pela ordem de citação no texto. Todas as hiperligações e identificadores digitais foram confirmados em Setembro de 2026.</w:t>
      </w:r>
    </w:p>
    <w:p>
      <w:pPr>
        <w:spacing w:line="276" w:lineRule="auto" w:after="120" w:before="0"/>
        <w:jc w:val="both"/>
      </w:pPr>
      <w:r>
        <w:rPr>
          <w:rFonts w:ascii="Times New Roman" w:hAnsi="Times New Roman" w:cs="Times New Roman" w:eastAsia="Times New Roman"/>
          <w:b w:val="0"/>
          <w:i w:val="0"/>
          <w:color w:val="000000"/>
          <w:sz w:val="24"/>
        </w:rPr>
        <w:t>1. Organização Mundial da Saúde. Adolescent health [Internet]. Genebra: Organização Mundial da Saúde; 2026 [consultado a 16 de Setembro de 2026]. Disponível em: https://www.who.int/health-topics/adolescent-health.</w:t>
      </w:r>
    </w:p>
    <w:p>
      <w:pPr>
        <w:spacing w:line="276" w:lineRule="auto" w:after="120" w:before="0"/>
        <w:jc w:val="both"/>
      </w:pPr>
      <w:r>
        <w:rPr>
          <w:rFonts w:ascii="Times New Roman" w:hAnsi="Times New Roman" w:cs="Times New Roman" w:eastAsia="Times New Roman"/>
          <w:b w:val="0"/>
          <w:i w:val="0"/>
          <w:color w:val="000000"/>
          <w:sz w:val="24"/>
        </w:rPr>
        <w:t>2. Scott JG, Tunbridge M, Stathis S. The aggressive child. J Paediatr Child Health. 2018;54(10):1165-9. doi:10.1111/jpc.14182.</w:t>
      </w:r>
    </w:p>
    <w:p>
      <w:pPr>
        <w:spacing w:line="276" w:lineRule="auto" w:after="120" w:before="0"/>
        <w:jc w:val="both"/>
      </w:pPr>
      <w:r>
        <w:rPr>
          <w:rFonts w:ascii="Times New Roman" w:hAnsi="Times New Roman" w:cs="Times New Roman" w:eastAsia="Times New Roman"/>
          <w:b w:val="0"/>
          <w:i w:val="0"/>
          <w:color w:val="000000"/>
          <w:sz w:val="24"/>
        </w:rPr>
        <w:t>3. Krug EG, Dahlberg LL, Mercy JA, Zwi AB, Lozano R, editores. World report on violence and health. Genebra: Organização Mundial da Saúde; 2002. Disponível em: https://www.who.int/publications/i/item/9241545615.</w:t>
      </w:r>
    </w:p>
    <w:p>
      <w:pPr>
        <w:spacing w:line="276" w:lineRule="auto" w:after="120" w:before="0"/>
        <w:jc w:val="both"/>
      </w:pPr>
      <w:r>
        <w:rPr>
          <w:rFonts w:ascii="Times New Roman" w:hAnsi="Times New Roman" w:cs="Times New Roman" w:eastAsia="Times New Roman"/>
          <w:b w:val="0"/>
          <w:i w:val="0"/>
          <w:color w:val="000000"/>
          <w:sz w:val="24"/>
        </w:rPr>
        <w:t>4. Buss AH, Perry M. The aggression questionnaire. J Pers Soc Psychol. 1992;63(3):452-9. doi:10.1037/0022-3514.63.3.452.</w:t>
      </w:r>
    </w:p>
    <w:p>
      <w:pPr>
        <w:spacing w:line="276" w:lineRule="auto" w:after="120" w:before="0"/>
        <w:jc w:val="both"/>
      </w:pPr>
      <w:r>
        <w:rPr>
          <w:rFonts w:ascii="Times New Roman" w:hAnsi="Times New Roman" w:cs="Times New Roman" w:eastAsia="Times New Roman"/>
          <w:b w:val="0"/>
          <w:i w:val="0"/>
          <w:color w:val="000000"/>
          <w:sz w:val="24"/>
        </w:rPr>
        <w:t>5. Raine A, Dodge K, Loeber R, Gatzke-Kopp L, Lynam D, Reynolds C, et al. The reactive-proactive aggression questionnaire: differential correlates of reactive and proactive aggression in adolescent boys. Aggress Behav. 2006;32(2):159-71. doi:10.1002/ab.20115.</w:t>
      </w:r>
    </w:p>
    <w:p>
      <w:pPr>
        <w:spacing w:line="276" w:lineRule="auto" w:after="120" w:before="0"/>
        <w:jc w:val="both"/>
      </w:pPr>
      <w:r>
        <w:rPr>
          <w:rFonts w:ascii="Times New Roman" w:hAnsi="Times New Roman" w:cs="Times New Roman" w:eastAsia="Times New Roman"/>
          <w:b w:val="0"/>
          <w:i w:val="0"/>
          <w:color w:val="000000"/>
          <w:sz w:val="24"/>
        </w:rPr>
        <w:t>6. Organização Mundial da Saúde. Youth violence [ficha informativa na Internet]. Genebra: Organização Mundial da Saúde; 2026 [consultado a 16 de Setembro de 2026]. Disponível em: https://www.who.int/news-room/fact-sheets/detail/youth-violence.</w:t>
      </w:r>
    </w:p>
    <w:p>
      <w:pPr>
        <w:spacing w:line="276" w:lineRule="auto" w:after="120" w:before="0"/>
        <w:jc w:val="both"/>
      </w:pPr>
      <w:r>
        <w:rPr>
          <w:rFonts w:ascii="Times New Roman" w:hAnsi="Times New Roman" w:cs="Times New Roman" w:eastAsia="Times New Roman"/>
          <w:b w:val="0"/>
          <w:i w:val="0"/>
          <w:color w:val="000000"/>
          <w:sz w:val="24"/>
        </w:rPr>
        <w:t>7. Han L, You D, Gao X, Duan S, Hu G, Wang H, et al. Unintentional injuries and violence among adolescents aged 12-15 years in 68 low-income and middle-income countries: a secondary analysis of data from the Global School-Based Student Health Survey. Lancet Child Adolesc Health. 2019;3(9):616-26. doi:10.1016/S2352-4642(19)30195-6.</w:t>
      </w:r>
    </w:p>
    <w:p>
      <w:pPr>
        <w:spacing w:line="276" w:lineRule="auto" w:after="120" w:before="0"/>
        <w:jc w:val="both"/>
      </w:pPr>
      <w:r>
        <w:rPr>
          <w:rFonts w:ascii="Times New Roman" w:hAnsi="Times New Roman" w:cs="Times New Roman" w:eastAsia="Times New Roman"/>
          <w:b w:val="0"/>
          <w:i w:val="0"/>
          <w:color w:val="000000"/>
          <w:sz w:val="24"/>
        </w:rPr>
        <w:t>8. Aboagye RG, Seidu AA, Adu C, Cadri A, Mireku DO, Ahinkorah BO. Interpersonal violence among in-school adolescents in sub-Saharan Africa: assessing the prevalence and predictors from the Global School-based health survey. SSM Popul Health. 2021;16:100929. doi:10.1016/j.ssmph.2021.100929.</w:t>
      </w:r>
    </w:p>
    <w:p>
      <w:pPr>
        <w:spacing w:line="276" w:lineRule="auto" w:after="120" w:before="0"/>
        <w:jc w:val="both"/>
      </w:pPr>
      <w:r>
        <w:rPr>
          <w:rFonts w:ascii="Times New Roman" w:hAnsi="Times New Roman" w:cs="Times New Roman" w:eastAsia="Times New Roman"/>
          <w:b w:val="0"/>
          <w:i w:val="0"/>
          <w:color w:val="000000"/>
          <w:sz w:val="24"/>
        </w:rPr>
        <w:t>9. Aboagye RG, Seidu AA, Hagan JE Jr, Frimpong JB, Budu E, Adu C, et al. A multi-country analysis of the prevalence and factors associated with bullying victimisation among in-school adolescents in sub-Saharan Africa: evidence from the global school-based health survey. BMC Psychiatry. 2021;21(1):325. doi:10.1186/s12888-021-03337-5.</w:t>
      </w:r>
    </w:p>
    <w:p>
      <w:pPr>
        <w:spacing w:line="276" w:lineRule="auto" w:after="120" w:before="0"/>
        <w:jc w:val="both"/>
      </w:pPr>
      <w:r>
        <w:rPr>
          <w:rFonts w:ascii="Times New Roman" w:hAnsi="Times New Roman" w:cs="Times New Roman" w:eastAsia="Times New Roman"/>
          <w:b w:val="0"/>
          <w:i w:val="0"/>
          <w:color w:val="000000"/>
          <w:sz w:val="24"/>
        </w:rPr>
        <w:t>10. Governo de Moçambique, Centers for Disease Control and Prevention, Together for Girls. Mozambique Violence Against Children and Youth Survey (VACS) 2019 [Internet]. Maputo: Governo de Moçambique; 2022 [consultado a 16 de Setembro de 2026]. Disponível em: https://www.togetherforgirls.org/en/resources/mozambique-vacs-report-2022.</w:t>
      </w:r>
    </w:p>
    <w:p>
      <w:pPr>
        <w:spacing w:line="276" w:lineRule="auto" w:after="120" w:before="0"/>
        <w:jc w:val="both"/>
      </w:pPr>
      <w:r>
        <w:rPr>
          <w:rFonts w:ascii="Times New Roman" w:hAnsi="Times New Roman" w:cs="Times New Roman" w:eastAsia="Times New Roman"/>
          <w:b w:val="0"/>
          <w:i w:val="0"/>
          <w:color w:val="000000"/>
          <w:sz w:val="24"/>
        </w:rPr>
        <w:t>11. Amene EW, Annor FB, Gilbert LK, McOwen J, Augusto A, Manuel P, et al. Prevalence of adverse childhood experiences in sub-Saharan Africa: a multicountry analysis of the Violence Against Children and Youth Surveys (VACS). Child Abuse Negl. 2024;150:106353. doi:10.1016/j.chiabu.2023.106353.</w:t>
      </w:r>
    </w:p>
    <w:p>
      <w:pPr>
        <w:spacing w:line="276" w:lineRule="auto" w:after="120" w:before="0"/>
        <w:jc w:val="both"/>
      </w:pPr>
      <w:r>
        <w:rPr>
          <w:rFonts w:ascii="Times New Roman" w:hAnsi="Times New Roman" w:cs="Times New Roman" w:eastAsia="Times New Roman"/>
          <w:b w:val="0"/>
          <w:i w:val="0"/>
          <w:color w:val="000000"/>
          <w:sz w:val="24"/>
        </w:rPr>
        <w:t>12. Semá Baltazar C, Ribeiro Banze A, Muleia R. Patterns of self-reported alcohol and drug use among children and youth: Mozambique violence against children survey (VACS) 2019. BMC Public Health. 2025;25(1):1159. doi:10.1186/s12889-025-22360-9.</w:t>
      </w:r>
    </w:p>
    <w:p>
      <w:pPr>
        <w:spacing w:line="276" w:lineRule="auto" w:after="120" w:before="0"/>
        <w:jc w:val="both"/>
      </w:pPr>
      <w:r>
        <w:rPr>
          <w:rFonts w:ascii="Times New Roman" w:hAnsi="Times New Roman" w:cs="Times New Roman" w:eastAsia="Times New Roman"/>
          <w:b w:val="0"/>
          <w:i w:val="0"/>
          <w:color w:val="000000"/>
          <w:sz w:val="24"/>
        </w:rPr>
        <w:t>13. King A, Adam S, Bila C, Fernandes ME, Rodrigues T, dos Santos PF, et al. Prevalence of mental disorders and healthcare seeking among Mozambican adolescents in school. Transcult Psychiatry. 2026. doi:10.1177/13634615251409683.</w:t>
      </w:r>
    </w:p>
    <w:p>
      <w:pPr>
        <w:spacing w:line="276" w:lineRule="auto" w:after="120" w:before="0"/>
        <w:jc w:val="both"/>
      </w:pPr>
      <w:r>
        <w:rPr>
          <w:rFonts w:ascii="Times New Roman" w:hAnsi="Times New Roman" w:cs="Times New Roman" w:eastAsia="Times New Roman"/>
          <w:b w:val="0"/>
          <w:i w:val="0"/>
          <w:color w:val="000000"/>
          <w:sz w:val="24"/>
        </w:rPr>
        <w:t>14. Igreja V, Axelsen T, Brekelmans A. Exploring the mental health of young people in households and schools in Gorongosa District, Center of Mozambique. Sci Rep. 2024;14(1):28057. doi:10.1038/s41598-024-79257-7.</w:t>
      </w:r>
    </w:p>
    <w:p>
      <w:pPr>
        <w:spacing w:line="276" w:lineRule="auto" w:after="120" w:before="0"/>
        <w:jc w:val="both"/>
      </w:pPr>
      <w:r>
        <w:rPr>
          <w:rFonts w:ascii="Times New Roman" w:hAnsi="Times New Roman" w:cs="Times New Roman" w:eastAsia="Times New Roman"/>
          <w:b w:val="0"/>
          <w:i w:val="0"/>
          <w:color w:val="000000"/>
          <w:sz w:val="24"/>
        </w:rPr>
        <w:t>15. Bandura A, Ross D, Ross SA. Transmission of aggression through imitation of aggressive models. J Abnorm Soc Psychol. 1961;63(3):575-82. doi:10.1037/h0045925.</w:t>
      </w:r>
    </w:p>
    <w:p>
      <w:pPr>
        <w:spacing w:line="276" w:lineRule="auto" w:after="120" w:before="0"/>
        <w:jc w:val="both"/>
      </w:pPr>
      <w:r>
        <w:rPr>
          <w:rFonts w:ascii="Times New Roman" w:hAnsi="Times New Roman" w:cs="Times New Roman" w:eastAsia="Times New Roman"/>
          <w:b w:val="0"/>
          <w:i w:val="0"/>
          <w:color w:val="000000"/>
          <w:sz w:val="24"/>
        </w:rPr>
        <w:t>16. Organização Mundial da Saúde. Global status report on preventing violence against children 2020. Genebra: Organização Mundial da Saúde; 2020. Disponível em: https://www.who.int/publications/i/item/9789240004191.</w:t>
      </w:r>
    </w:p>
    <w:p>
      <w:pPr>
        <w:spacing w:line="276" w:lineRule="auto" w:after="120" w:before="0"/>
        <w:jc w:val="both"/>
      </w:pPr>
      <w:r>
        <w:rPr>
          <w:rFonts w:ascii="Times New Roman" w:hAnsi="Times New Roman" w:cs="Times New Roman" w:eastAsia="Times New Roman"/>
          <w:b w:val="0"/>
          <w:i w:val="0"/>
          <w:color w:val="000000"/>
          <w:sz w:val="24"/>
        </w:rPr>
        <w:t>17. Organização Mundial da Saúde. INSPIRE: seven strategies for ending violence against children. Genebra: Organização Mundial da Saúde; 2016. Disponível em: https://www.who.int/publications/i/item/9789241565356.</w:t>
      </w:r>
    </w:p>
    <w:p>
      <w:pPr>
        <w:spacing w:line="276" w:lineRule="auto" w:after="120" w:before="0"/>
        <w:jc w:val="both"/>
      </w:pPr>
      <w:r>
        <w:rPr>
          <w:rFonts w:ascii="Times New Roman" w:hAnsi="Times New Roman" w:cs="Times New Roman" w:eastAsia="Times New Roman"/>
          <w:b w:val="0"/>
          <w:i w:val="0"/>
          <w:color w:val="000000"/>
          <w:sz w:val="24"/>
        </w:rPr>
        <w:t>18. Gershoff ET, Grogan-Kaylor A. Spanking and child outcomes: old controversies and new meta-analyses. J Fam Psychol. 2016;30(4):453-69. doi:10.1037/fam0000191.</w:t>
      </w:r>
    </w:p>
    <w:p>
      <w:pPr>
        <w:spacing w:line="276" w:lineRule="auto" w:after="120" w:before="0"/>
        <w:jc w:val="both"/>
      </w:pPr>
      <w:r>
        <w:rPr>
          <w:rFonts w:ascii="Times New Roman" w:hAnsi="Times New Roman" w:cs="Times New Roman" w:eastAsia="Times New Roman"/>
          <w:b w:val="0"/>
          <w:i w:val="0"/>
          <w:color w:val="000000"/>
          <w:sz w:val="24"/>
        </w:rPr>
        <w:t>19. Tian Y, Yu C, Lin S, Lu J, Liu Y, Zhang W. Parental psychological control and adolescent aggressive behavior: deviant peer affiliation as a mediator and school connectedness as a moderator. Front Psychol. 2019;10:358. doi:10.3389/fpsyg.2019.00358.</w:t>
      </w:r>
    </w:p>
    <w:p>
      <w:pPr>
        <w:spacing w:line="276" w:lineRule="auto" w:after="120" w:before="0"/>
        <w:jc w:val="both"/>
      </w:pPr>
      <w:r>
        <w:rPr>
          <w:rFonts w:ascii="Times New Roman" w:hAnsi="Times New Roman" w:cs="Times New Roman" w:eastAsia="Times New Roman"/>
          <w:b w:val="0"/>
          <w:i w:val="0"/>
          <w:color w:val="000000"/>
          <w:sz w:val="24"/>
        </w:rPr>
        <w:t>20. Zhu J, Yu C, Zhang W, Bao Z, Jiang Y, Chen Y, et al. Peer victimization, deviant peer affiliation and impulsivity: predicting adolescent problem behaviors. Child Abuse Negl. 2016;58:39-50. doi:10.1016/j.chiabu.2016.06.008.</w:t>
      </w:r>
    </w:p>
    <w:p>
      <w:pPr>
        <w:spacing w:line="276" w:lineRule="auto" w:after="120" w:before="0"/>
        <w:jc w:val="both"/>
      </w:pPr>
      <w:r>
        <w:rPr>
          <w:rFonts w:ascii="Times New Roman" w:hAnsi="Times New Roman" w:cs="Times New Roman" w:eastAsia="Times New Roman"/>
          <w:b w:val="0"/>
          <w:i w:val="0"/>
          <w:color w:val="000000"/>
          <w:sz w:val="24"/>
        </w:rPr>
        <w:t>21. Brown C, Nkemjika S, Ratto J, Dube SR, Gilbert L, Chiang L, et al. Adverse childhood experiences and associations with mental health, substance use, and violence perpetration among young adults in sub-Saharan Africa. Child Abuse Negl. 2024;150:106524. doi:10.1016/j.chiabu.2023.106524.</w:t>
      </w:r>
    </w:p>
    <w:p>
      <w:pPr>
        <w:spacing w:line="276" w:lineRule="auto" w:after="120" w:before="0"/>
        <w:jc w:val="both"/>
      </w:pPr>
      <w:r>
        <w:rPr>
          <w:rFonts w:ascii="Times New Roman" w:hAnsi="Times New Roman" w:cs="Times New Roman" w:eastAsia="Times New Roman"/>
          <w:b w:val="0"/>
          <w:i w:val="0"/>
          <w:color w:val="000000"/>
          <w:sz w:val="24"/>
        </w:rPr>
        <w:t>22. Matsinhe SO, Suffla S, Hector TJ. Occurrence and circumstances of child sexual assault in Maputo, Mozambique. J Forensic Leg Med. 2024;108:102778. doi:10.1016/j.jflm.2024.102778.</w:t>
      </w:r>
    </w:p>
    <w:p>
      <w:pPr>
        <w:spacing w:line="276" w:lineRule="auto" w:after="120" w:before="0"/>
        <w:jc w:val="both"/>
      </w:pPr>
      <w:r>
        <w:rPr>
          <w:rFonts w:ascii="Times New Roman" w:hAnsi="Times New Roman" w:cs="Times New Roman" w:eastAsia="Times New Roman"/>
          <w:b w:val="0"/>
          <w:i w:val="0"/>
          <w:color w:val="000000"/>
          <w:sz w:val="24"/>
        </w:rPr>
        <w:t>23. Vigneri M, Fadare O, Devries K, Cluver L, Meinck F. Past political violence and interpersonal violence against children and youth in Africa. Nat Commun. 2026;17(1). doi:10.1038/s41467-026-71075-x.</w:t>
      </w:r>
    </w:p>
    <w:p>
      <w:pPr>
        <w:spacing w:line="276" w:lineRule="auto" w:after="120" w:before="0"/>
        <w:jc w:val="both"/>
      </w:pPr>
      <w:r>
        <w:rPr>
          <w:rFonts w:ascii="Times New Roman" w:hAnsi="Times New Roman" w:cs="Times New Roman" w:eastAsia="Times New Roman"/>
          <w:b w:val="0"/>
          <w:i w:val="0"/>
          <w:color w:val="000000"/>
          <w:sz w:val="24"/>
        </w:rPr>
        <w:t>24. Blum RW, Li M, Naranjo-Rivera G. Measuring adverse child experiences among young adolescents globally: relationships with depressive symptoms and violence perpetration. J Adolesc Health. 2019;65(1):86-93. doi:10.1016/j.jadohealth.2019.01.020.</w:t>
      </w:r>
    </w:p>
    <w:p>
      <w:pPr>
        <w:spacing w:line="276" w:lineRule="auto" w:after="120" w:before="0"/>
        <w:jc w:val="both"/>
      </w:pPr>
      <w:r>
        <w:rPr>
          <w:rFonts w:ascii="Times New Roman" w:hAnsi="Times New Roman" w:cs="Times New Roman" w:eastAsia="Times New Roman"/>
          <w:b w:val="0"/>
          <w:i w:val="0"/>
          <w:color w:val="000000"/>
          <w:sz w:val="24"/>
        </w:rPr>
        <w:t>25. Pechorro P, Barroso R, Poiares C, Oliveira JP, Torrealday O. Validation of the Buss-Perry Aggression Questionnaire-Short Form among Portuguese juvenile delinquents. Int J Law Psychiatry. 2016;44:75-80. doi:10.1016/j.ijlp.2015.08.033.</w:t>
      </w:r>
    </w:p>
    <w:p>
      <w:pPr>
        <w:spacing w:line="276" w:lineRule="auto" w:after="120" w:before="0"/>
        <w:jc w:val="both"/>
      </w:pPr>
      <w:r>
        <w:rPr>
          <w:rFonts w:ascii="Times New Roman" w:hAnsi="Times New Roman" w:cs="Times New Roman" w:eastAsia="Times New Roman"/>
          <w:b w:val="0"/>
          <w:i w:val="0"/>
          <w:color w:val="000000"/>
          <w:sz w:val="24"/>
        </w:rPr>
        <w:t>26. Pechorro P, Ray JV, Raine A, Maroco J, Gonçalves RA. The reactive-proactive aggression questionnaire: validation among a Portuguese sample of incarcerated juvenile delinquents. J Interpers Violence. 2017;32(13):1995-2017. doi:10.1177/0886260515590784.</w:t>
      </w:r>
    </w:p>
    <w:p>
      <w:pPr>
        <w:spacing w:line="276" w:lineRule="auto" w:after="120" w:before="0"/>
        <w:jc w:val="both"/>
      </w:pPr>
      <w:r>
        <w:rPr>
          <w:rFonts w:ascii="Times New Roman" w:hAnsi="Times New Roman" w:cs="Times New Roman" w:eastAsia="Times New Roman"/>
          <w:b w:val="0"/>
          <w:i w:val="0"/>
          <w:color w:val="000000"/>
          <w:sz w:val="24"/>
        </w:rPr>
        <w:t>27. Organização Mundial da Saúde. Mental health of adolescents [ficha informativa na Internet]. Genebra: Organização Mundial da Saúde; 2026 [consultado a 16 de Setembro de 2026]. Disponível em: https://www.who.int/news-room/fact-sheets/detail/adolescent-mental-health.</w:t>
      </w:r>
    </w:p>
    <w:p>
      <w:pPr>
        <w:spacing w:line="276" w:lineRule="auto" w:after="120" w:before="0"/>
        <w:jc w:val="both"/>
      </w:pPr>
      <w:r>
        <w:rPr>
          <w:rFonts w:ascii="Times New Roman" w:hAnsi="Times New Roman" w:cs="Times New Roman" w:eastAsia="Times New Roman"/>
          <w:b w:val="0"/>
          <w:i w:val="0"/>
          <w:color w:val="000000"/>
          <w:sz w:val="24"/>
        </w:rPr>
        <w:t>28. Sukhodolsky DG, Smith SD, McCauley SA, Ibrahim K, Piasecka JB. Behavioral interventions for anger, irritability, and aggression in children and adolescents. J Child Adolesc Psychopharmacol. 2016;26(1):58-64. doi:10.1089/cap.2015.0120.</w:t>
      </w:r>
    </w:p>
    <w:p>
      <w:pPr>
        <w:spacing w:line="276" w:lineRule="auto" w:after="120" w:before="0"/>
        <w:jc w:val="both"/>
      </w:pPr>
      <w:r>
        <w:rPr>
          <w:rFonts w:ascii="Times New Roman" w:hAnsi="Times New Roman" w:cs="Times New Roman" w:eastAsia="Times New Roman"/>
          <w:b w:val="0"/>
          <w:i w:val="0"/>
          <w:color w:val="000000"/>
          <w:sz w:val="24"/>
        </w:rPr>
        <w:t>29. Tordjman S. Aggressive behavior: a language to be understood. Encephale. 2022;48(Suppl 1):S4-13. doi:10.1016/j.encep.2022.08.007.</w:t>
      </w:r>
    </w:p>
    <w:p>
      <w:pPr>
        <w:spacing w:line="276" w:lineRule="auto" w:after="120" w:before="0"/>
        <w:jc w:val="both"/>
      </w:pPr>
      <w:r>
        <w:rPr>
          <w:rFonts w:ascii="Times New Roman" w:hAnsi="Times New Roman" w:cs="Times New Roman" w:eastAsia="Times New Roman"/>
          <w:b w:val="0"/>
          <w:i w:val="0"/>
          <w:color w:val="000000"/>
          <w:sz w:val="24"/>
        </w:rPr>
        <w:t>30. Xu X, Wu Y, Xu Y, Zhang J, Zhou N. The role of parent-child attachment, hostile attribution bias in aggression: a meta-analytic review. Trauma Violence Abuse. 2024;25(3):2334-47. doi:10.1177/15248380231210920.</w:t>
      </w:r>
    </w:p>
    <w:p>
      <w:pPr>
        <w:spacing w:line="276" w:lineRule="auto" w:after="120" w:before="0"/>
        <w:jc w:val="both"/>
      </w:pPr>
      <w:r>
        <w:rPr>
          <w:rFonts w:ascii="Times New Roman" w:hAnsi="Times New Roman" w:cs="Times New Roman" w:eastAsia="Times New Roman"/>
          <w:b w:val="0"/>
          <w:i w:val="0"/>
          <w:color w:val="000000"/>
          <w:sz w:val="24"/>
        </w:rPr>
        <w:t>31. Tarafa H, Alemayehu Y, Bete T, Tarafa A. Bullying victimization and its associated factors among adolescents in Illu Abba Bor Zone, Southwest Ethiopia: a cross-sectional study. BMC Psychol. 2022;10(1):260. doi:10.1186/s40359-022-00967-6.</w:t>
      </w:r>
    </w:p>
    <w:p>
      <w:pPr>
        <w:spacing w:line="276" w:lineRule="auto" w:after="120" w:before="0"/>
        <w:jc w:val="both"/>
      </w:pPr>
      <w:r>
        <w:rPr>
          <w:rFonts w:ascii="Times New Roman" w:hAnsi="Times New Roman" w:cs="Times New Roman" w:eastAsia="Times New Roman"/>
          <w:b w:val="0"/>
          <w:i w:val="0"/>
          <w:color w:val="000000"/>
          <w:sz w:val="24"/>
        </w:rPr>
        <w:t>32. Sweidan AT, El-Beialy AR, El-Mangoury NH, Fawzy SA. Prevalence and factors influencing bullying among Egyptian schoolchildren. J Orthod. 2024;51(3):240-50. doi:10.1177/14653125241229455.</w:t>
      </w:r>
    </w:p>
    <w:p>
      <w:pPr>
        <w:spacing w:line="276" w:lineRule="auto" w:after="120" w:before="0"/>
        <w:jc w:val="both"/>
      </w:pPr>
      <w:r>
        <w:rPr>
          <w:rFonts w:ascii="Times New Roman" w:hAnsi="Times New Roman" w:cs="Times New Roman" w:eastAsia="Times New Roman"/>
          <w:b w:val="0"/>
          <w:i w:val="0"/>
          <w:color w:val="000000"/>
          <w:sz w:val="24"/>
        </w:rPr>
        <w:t>33. Ameli V, Meinck F, Munthali A, Ushie B, Langhaug L. Associations between adolescent experiences of violence in Malawi and gender-based attitudes, internalizing, and externalizing behaviors. Child Abuse Negl. 2017;67:305-14. doi:10.1016/j.chiabu.2017.02.027.</w:t>
      </w:r>
    </w:p>
    <w:p>
      <w:pPr>
        <w:spacing w:line="276" w:lineRule="auto" w:after="120" w:before="0"/>
        <w:jc w:val="both"/>
      </w:pPr>
      <w:r>
        <w:rPr>
          <w:rFonts w:ascii="Times New Roman" w:hAnsi="Times New Roman" w:cs="Times New Roman" w:eastAsia="Times New Roman"/>
          <w:b w:val="0"/>
          <w:i w:val="0"/>
          <w:color w:val="000000"/>
          <w:sz w:val="24"/>
        </w:rPr>
        <w:t>34. Nguyen AJ, Bradshaw C, Townsend L, Bass J. Prevalence and correlates of bullying victimization in four low-resource countries. J Interpers Violence. 2020;35(19-20):3767-90. doi:10.1177/0886260517709799.</w:t>
      </w:r>
    </w:p>
    <w:p>
      <w:pPr>
        <w:spacing w:line="276" w:lineRule="auto" w:after="120" w:before="0"/>
        <w:jc w:val="both"/>
      </w:pPr>
      <w:r>
        <w:rPr>
          <w:rFonts w:ascii="Times New Roman" w:hAnsi="Times New Roman" w:cs="Times New Roman" w:eastAsia="Times New Roman"/>
          <w:b w:val="0"/>
          <w:i w:val="0"/>
          <w:color w:val="000000"/>
          <w:sz w:val="24"/>
        </w:rPr>
        <w:t>35. Ugwu LE, Ramadie KJ, Ajele WK, Idemudia ES. Childhood adversity and peer influence in adolescent bullying perpetration. Sci Rep. 2024;14(1):30959. doi:10.1038/s41598-024-81978-8.</w:t>
      </w:r>
    </w:p>
    <w:p>
      <w:pPr>
        <w:spacing w:line="276" w:lineRule="auto" w:after="120" w:before="0"/>
        <w:jc w:val="both"/>
      </w:pPr>
      <w:r>
        <w:rPr>
          <w:rFonts w:ascii="Times New Roman" w:hAnsi="Times New Roman" w:cs="Times New Roman" w:eastAsia="Times New Roman"/>
          <w:b w:val="0"/>
          <w:i w:val="0"/>
          <w:color w:val="000000"/>
          <w:sz w:val="24"/>
        </w:rPr>
        <w:t>36. Elgar FJ, Donnelly PD, Michaelson V, Gariépy G, Riehm KE, Walsh SD, et al. Corporal punishment bans and physical fighting in adolescents: an ecological study of 88 countries. BMJ Open. 2018;8(9):e021616. doi:10.1136/bmjopen-2018-021616.</w:t>
      </w:r>
    </w:p>
    <w:p>
      <w:pPr>
        <w:spacing w:line="276" w:lineRule="auto" w:after="120" w:before="0"/>
        <w:jc w:val="both"/>
      </w:pPr>
      <w:r>
        <w:rPr>
          <w:rFonts w:ascii="Times New Roman" w:hAnsi="Times New Roman" w:cs="Times New Roman" w:eastAsia="Times New Roman"/>
          <w:b w:val="0"/>
          <w:i w:val="0"/>
          <w:color w:val="000000"/>
          <w:sz w:val="24"/>
        </w:rPr>
        <w:t>37. Henneberger AK, Varga SM, Moudy A, Tolan PH. Family functioning and high risk adolescents' aggressive behavior: examining effects by ethnicity. J Youth Adolesc. 2016;45(1):145-55. doi:10.1007/s10964-014-0222-8.</w:t>
      </w:r>
    </w:p>
    <w:p>
      <w:pPr>
        <w:spacing w:line="276" w:lineRule="auto" w:after="120" w:before="0"/>
        <w:jc w:val="both"/>
      </w:pPr>
      <w:r>
        <w:rPr>
          <w:rFonts w:ascii="Times New Roman" w:hAnsi="Times New Roman" w:cs="Times New Roman" w:eastAsia="Times New Roman"/>
          <w:b w:val="0"/>
          <w:i w:val="0"/>
          <w:color w:val="000000"/>
          <w:sz w:val="24"/>
        </w:rPr>
        <w:t>38. Annor FB, Amene EW, Zhu L, Stamatakis C, Picchetti V, Matthews S, et al. Parental absence as an adverse childhood experience among young adults in sub-Saharan Africa. Child Abuse Negl. 2024;150:106556. doi:10.1016/j.chiabu.2023.106556.</w:t>
      </w:r>
    </w:p>
    <w:p>
      <w:pPr>
        <w:spacing w:line="276" w:lineRule="auto" w:after="120" w:before="0"/>
        <w:jc w:val="both"/>
      </w:pPr>
      <w:r>
        <w:rPr>
          <w:rFonts w:ascii="Times New Roman" w:hAnsi="Times New Roman" w:cs="Times New Roman" w:eastAsia="Times New Roman"/>
          <w:b w:val="0"/>
          <w:i w:val="0"/>
          <w:color w:val="000000"/>
          <w:sz w:val="24"/>
        </w:rPr>
        <w:t>39. Zietz S, Kajula L, McNaughton Reyes HL, Moodley D, Maman S. Patterns of adverse childhood experiences and subsequent risk of interpersonal violence perpetration among men in Dar es Salaam, Tanzania. Child Abuse Negl. 2020;99:104256. doi:10.1016/j.chiabu.2019.104256.</w:t>
      </w:r>
    </w:p>
    <w:p>
      <w:pPr>
        <w:spacing w:line="276" w:lineRule="auto" w:after="120" w:before="0"/>
        <w:jc w:val="both"/>
      </w:pPr>
      <w:r>
        <w:rPr>
          <w:rFonts w:ascii="Times New Roman" w:hAnsi="Times New Roman" w:cs="Times New Roman" w:eastAsia="Times New Roman"/>
          <w:b w:val="0"/>
          <w:i w:val="0"/>
          <w:color w:val="000000"/>
          <w:sz w:val="24"/>
        </w:rPr>
        <w:t>40. Miedema SS, Matthews SA, Annor FB, Kress H, Massetti GM. Prevalence of violence perpetration by men aged 18-24 years in low- and middle-income countries who were exposed to violence during childhood, eight countries, 2018-2023. MMWR Morb Mortal Wkly Rep. 2026;75(3):41-6. doi:10.15585/mmwr.mm7503a2.</w:t>
      </w:r>
    </w:p>
    <w:p>
      <w:pPr>
        <w:spacing w:line="276" w:lineRule="auto" w:after="120" w:before="0"/>
        <w:jc w:val="both"/>
      </w:pPr>
      <w:r>
        <w:rPr>
          <w:rFonts w:ascii="Times New Roman" w:hAnsi="Times New Roman" w:cs="Times New Roman" w:eastAsia="Times New Roman"/>
          <w:b w:val="0"/>
          <w:i w:val="0"/>
          <w:color w:val="000000"/>
          <w:sz w:val="24"/>
        </w:rPr>
        <w:t>41. Palermo T, Pereira A, Neijhoft N, Bello G, Buluma R, Diem P, et al. Risk factors for childhood violence and polyvictimization: a cross-country analysis from three regions. Child Abuse Negl. 2019;88:348-61. doi:10.1016/j.chiabu.2018.10.012.</w:t>
      </w:r>
    </w:p>
    <w:p>
      <w:pPr>
        <w:spacing w:line="276" w:lineRule="auto" w:after="120" w:before="0"/>
        <w:jc w:val="both"/>
      </w:pPr>
      <w:r>
        <w:rPr>
          <w:rFonts w:ascii="Times New Roman" w:hAnsi="Times New Roman" w:cs="Times New Roman" w:eastAsia="Times New Roman"/>
          <w:b w:val="0"/>
          <w:i w:val="0"/>
          <w:color w:val="000000"/>
          <w:sz w:val="24"/>
        </w:rPr>
        <w:t>42. Li Y, Scott Huebner E, Tian L. Deviant peer affiliation, self-control, and aggression during early adolescence: within-person effects and between-person differences. Eur Child Adolesc Psychiatry. 2024;33(7):2343-52. doi:10.1007/s00787-023-02336-z.</w:t>
      </w:r>
    </w:p>
    <w:p>
      <w:pPr>
        <w:spacing w:line="276" w:lineRule="auto" w:after="120" w:before="0"/>
        <w:jc w:val="both"/>
      </w:pPr>
      <w:r>
        <w:rPr>
          <w:rFonts w:ascii="Times New Roman" w:hAnsi="Times New Roman" w:cs="Times New Roman" w:eastAsia="Times New Roman"/>
          <w:b w:val="0"/>
          <w:i w:val="0"/>
          <w:color w:val="000000"/>
          <w:sz w:val="24"/>
        </w:rPr>
        <w:t>43. Obeid S, Saade S, Haddad C, Sacre H, Khansa W, Al Hajj R, et al. Internet addiction among Lebanese adolescents: the role of self-esteem, anger, depression, anxiety, social anxiety and fear, impulsivity, and aggression, a cross-sectional study. J Nerv Ment Dis. 2019;207(10):838-46. doi:10.1097/NMD.0000000000001034.</w:t>
      </w:r>
    </w:p>
    <w:p>
      <w:pPr>
        <w:spacing w:line="276" w:lineRule="auto" w:after="120" w:before="0"/>
        <w:jc w:val="both"/>
      </w:pPr>
      <w:r>
        <w:rPr>
          <w:rFonts w:ascii="Times New Roman" w:hAnsi="Times New Roman" w:cs="Times New Roman" w:eastAsia="Times New Roman"/>
          <w:b w:val="0"/>
          <w:i w:val="0"/>
          <w:color w:val="000000"/>
          <w:sz w:val="24"/>
        </w:rPr>
        <w:t>44. Tian S, Zhang T, Chen X, Li Y, Xi B. Substance use and psychological distress among school-going adolescents in 41 low-income and middle-income countries. J Affect Disord. 2021;291:254-60. doi:10.1016/j.jad.2021.05.024.</w:t>
      </w:r>
    </w:p>
    <w:p>
      <w:pPr>
        <w:spacing w:line="276" w:lineRule="auto" w:after="120" w:before="0"/>
        <w:jc w:val="both"/>
      </w:pPr>
      <w:r>
        <w:rPr>
          <w:rFonts w:ascii="Times New Roman" w:hAnsi="Times New Roman" w:cs="Times New Roman" w:eastAsia="Times New Roman"/>
          <w:b w:val="0"/>
          <w:i w:val="0"/>
          <w:color w:val="000000"/>
          <w:sz w:val="24"/>
        </w:rPr>
        <w:t>45. Ma C, Bovet P, Yang L, Zhao M, Liang Y, Xi B. Alcohol use among young adolescents in low-income and middle-income countries: a population-based study. Lancet Child Adolesc Health. 2018;2(6):415-29. doi:10.1016/S2352-4642(18)30112-3.</w:t>
      </w:r>
    </w:p>
    <w:p>
      <w:pPr>
        <w:spacing w:line="276" w:lineRule="auto" w:after="120" w:before="0"/>
        <w:jc w:val="both"/>
      </w:pPr>
      <w:r>
        <w:rPr>
          <w:rFonts w:ascii="Times New Roman" w:hAnsi="Times New Roman" w:cs="Times New Roman" w:eastAsia="Times New Roman"/>
          <w:b w:val="0"/>
          <w:i w:val="0"/>
          <w:color w:val="000000"/>
          <w:sz w:val="24"/>
        </w:rPr>
        <w:t>46. Abio A, Sezirahiga J, E Davis L, Wilson ML. Substance use and sociodemographic correlates among adolescents in a low-income sub-Saharan setting. J Inj Violence Res. 2020;12(1):21-7. doi:10.5249/jivr.v12i1.1195.</w:t>
      </w:r>
    </w:p>
    <w:p>
      <w:pPr>
        <w:spacing w:line="276" w:lineRule="auto" w:after="120" w:before="0"/>
        <w:jc w:val="both"/>
      </w:pPr>
      <w:r>
        <w:rPr>
          <w:rFonts w:ascii="Times New Roman" w:hAnsi="Times New Roman" w:cs="Times New Roman" w:eastAsia="Times New Roman"/>
          <w:b w:val="0"/>
          <w:i w:val="0"/>
          <w:color w:val="000000"/>
          <w:sz w:val="24"/>
        </w:rPr>
        <w:t>47. Olejarnik SZ, Romano D. Is playing violent video games a risk factor for aggressive behaviour? Adding narcissism, self-esteem and PEGI ratings to the debate. Front Psychol. 2023;14:1155807. doi:10.3389/fpsyg.2023.1155807.</w:t>
      </w:r>
    </w:p>
    <w:p>
      <w:pPr>
        <w:spacing w:line="276" w:lineRule="auto" w:after="120" w:before="0"/>
        <w:jc w:val="both"/>
      </w:pPr>
      <w:r>
        <w:rPr>
          <w:rFonts w:ascii="Times New Roman" w:hAnsi="Times New Roman" w:cs="Times New Roman" w:eastAsia="Times New Roman"/>
          <w:b w:val="0"/>
          <w:i w:val="0"/>
          <w:color w:val="000000"/>
          <w:sz w:val="24"/>
        </w:rPr>
        <w:t>48. Tuvblad C, Dhamija D, Berntsen L, Raine A, Liu J. Cross-cultural validation of the Reactive-Proactive Aggression Questionnaire (RPQ) using four large samples from the US, Hong Kong, and China. J Psychopathol Behav Assess. 2016;38(1):48-55. doi:10.1007/s10862-015-9501-2.</w:t>
      </w:r>
    </w:p>
    <w:p>
      <w:pPr>
        <w:spacing w:line="276" w:lineRule="auto" w:after="120" w:before="0"/>
        <w:jc w:val="both"/>
      </w:pPr>
      <w:r>
        <w:rPr>
          <w:rFonts w:ascii="Times New Roman" w:hAnsi="Times New Roman" w:cs="Times New Roman" w:eastAsia="Times New Roman"/>
          <w:b w:val="0"/>
          <w:i w:val="0"/>
          <w:color w:val="000000"/>
          <w:sz w:val="24"/>
        </w:rPr>
        <w:t>49. Smilkstein G. The family APGAR: a proposal for a family function test and its use by physicians. J Fam Pract. 1978;6(6):1231-9. PMID:660126.</w:t>
      </w:r>
    </w:p>
    <w:p>
      <w:pPr>
        <w:spacing w:line="276" w:lineRule="auto" w:after="120" w:before="0"/>
        <w:jc w:val="both"/>
      </w:pPr>
      <w:r>
        <w:rPr>
          <w:rFonts w:ascii="Times New Roman" w:hAnsi="Times New Roman" w:cs="Times New Roman" w:eastAsia="Times New Roman"/>
          <w:b w:val="0"/>
          <w:i w:val="0"/>
          <w:color w:val="000000"/>
          <w:sz w:val="24"/>
        </w:rPr>
        <w:t>50. Organização Mundial da Saúde. Adverse Childhood Experiences International Questionnaire (ACE-IQ) [Internet]. Genebra: Organização Mundial da Saúde; 2026 [consultado a 16 de Setembro de 2026]. Disponível em: https://www.who.int/publications/m/item/adverse-childhood-experiences-international-questionnaire-(ace-iq).</w:t>
      </w:r>
    </w:p>
    <w:p>
      <w:pPr>
        <w:spacing w:line="276" w:lineRule="auto" w:after="120" w:before="0"/>
        <w:jc w:val="both"/>
      </w:pPr>
      <w:r>
        <w:rPr>
          <w:rFonts w:ascii="Times New Roman" w:hAnsi="Times New Roman" w:cs="Times New Roman" w:eastAsia="Times New Roman"/>
          <w:b w:val="0"/>
          <w:i w:val="0"/>
          <w:color w:val="000000"/>
          <w:sz w:val="24"/>
        </w:rPr>
        <w:t>51. Organização Mundial da Saúde. Global School-based Student Health Survey (GSHS) [Internet]. Genebra: Organização Mundial da Saúde; 2026 [consultado a 16 de Setembro de 2026]. Disponível em: https://www.who.int/teams/noncommunicable-diseases/surveillance/systems-tools/global-school-based-student-health-survey.</w:t>
      </w:r>
    </w:p>
    <w:p>
      <w:pPr>
        <w:spacing w:line="276" w:lineRule="auto" w:after="120" w:before="0"/>
        <w:jc w:val="both"/>
      </w:pPr>
      <w:r>
        <w:rPr>
          <w:rFonts w:ascii="Times New Roman" w:hAnsi="Times New Roman" w:cs="Times New Roman" w:eastAsia="Times New Roman"/>
          <w:b w:val="0"/>
          <w:i w:val="0"/>
          <w:color w:val="000000"/>
          <w:sz w:val="24"/>
        </w:rPr>
        <w:t>52. Goodman R. The Strengths and Difficulties Questionnaire: a research note. J Child Psychol Psychiatry. 1997;38(5):581-6. doi:10.1111/j.1469-7610.1997.tb01545.x.</w:t>
      </w:r>
    </w:p>
    <w:p>
      <w:pPr>
        <w:spacing w:line="276" w:lineRule="auto" w:after="120" w:before="0"/>
        <w:jc w:val="both"/>
      </w:pPr>
      <w:r>
        <w:rPr>
          <w:rFonts w:ascii="Times New Roman" w:hAnsi="Times New Roman" w:cs="Times New Roman" w:eastAsia="Times New Roman"/>
          <w:b w:val="0"/>
          <w:i w:val="0"/>
          <w:color w:val="000000"/>
          <w:sz w:val="24"/>
        </w:rPr>
        <w:t>53. Charan J, Biswas T. How to calculate sample size for different study designs in medical research? Indian J Psychol Med. 2013;35(2):121-6. doi:10.4103/0253-7176.116232.</w:t>
      </w:r>
    </w:p>
    <w:p>
      <w:pPr>
        <w:spacing w:line="276" w:lineRule="auto" w:after="120" w:before="0"/>
        <w:jc w:val="both"/>
      </w:pPr>
      <w:r>
        <w:rPr>
          <w:rFonts w:ascii="Times New Roman" w:hAnsi="Times New Roman" w:cs="Times New Roman" w:eastAsia="Times New Roman"/>
          <w:b w:val="0"/>
          <w:i w:val="0"/>
          <w:color w:val="000000"/>
          <w:sz w:val="24"/>
        </w:rPr>
        <w:t>54. von Elm E, Altman DG, Egger M, Pocock SJ, Gøtzsche PC, Vandenbroucke JP. The Strengthening the Reporting of Observational Studies in Epidemiology (STROBE) statement: guidelines for reporting observational studies. Lancet. 2007;370(9596):1453-7. doi:10.1016/S0140-6736(07)61602-X.</w:t>
      </w:r>
    </w:p>
    <w:p>
      <w:pPr>
        <w:spacing w:line="276" w:lineRule="auto" w:after="120" w:before="0"/>
        <w:jc w:val="both"/>
      </w:pPr>
      <w:r>
        <w:rPr>
          <w:rFonts w:ascii="Times New Roman" w:hAnsi="Times New Roman" w:cs="Times New Roman" w:eastAsia="Times New Roman"/>
          <w:b w:val="0"/>
          <w:i w:val="0"/>
          <w:color w:val="000000"/>
          <w:sz w:val="24"/>
        </w:rPr>
        <w:t>55. World Medical Association. World Medical Association Declaration of Helsinki: ethical principles for medical research involving human participants. JAMA. 2025;333(1):71-4. doi:10.1001/jama.2024.21972.</w:t>
      </w:r>
    </w:p>
    <w:p>
      <w:pPr>
        <w:spacing w:line="240" w:lineRule="auto" w:after="0" w:before="0"/>
        <w:jc w:val="left"/>
      </w:pPr>
      <w:r>
        <w:br w:type="page"/>
      </w:r>
    </w:p>
    <w:p>
      <w:pPr>
        <w:pStyle w:val="Heading1"/>
        <w:spacing w:line="360" w:lineRule="auto" w:after="120" w:before="240"/>
        <w:jc w:val="left"/>
      </w:pPr>
      <w:r>
        <w:rPr>
          <w:rFonts w:ascii="Times New Roman" w:hAnsi="Times New Roman" w:cs="Times New Roman" w:eastAsia="Times New Roman"/>
          <w:b/>
          <w:i w:val="0"/>
          <w:color w:val="000000"/>
          <w:sz w:val="26"/>
        </w:rPr>
        <w:t>APÊNDICES</w:t>
      </w:r>
    </w:p>
    <w:p>
      <w:pPr>
        <w:spacing w:line="360" w:lineRule="auto" w:after="120" w:before="0"/>
        <w:jc w:val="both"/>
      </w:pPr>
      <w:r>
        <w:rPr>
          <w:rFonts w:ascii="Times New Roman" w:hAnsi="Times New Roman" w:cs="Times New Roman" w:eastAsia="Times New Roman"/>
          <w:b w:val="0"/>
          <w:i w:val="0"/>
          <w:color w:val="000000"/>
          <w:sz w:val="24"/>
        </w:rPr>
        <w:t>Os apêndices reúnem o instrumento de recolha de dados e os documentos de informação, consentimento e assentimento a submeter ao comité de bioética.</w:t>
      </w:r>
    </w:p>
    <w:p>
      <w:pPr>
        <w:spacing w:line="240" w:lineRule="auto" w:after="0" w:before="0"/>
        <w:jc w:val="left"/>
      </w:pPr>
      <w:r>
        <w:br w:type="page"/>
      </w:r>
    </w:p>
    <w:p>
      <w:pPr>
        <w:pStyle w:val="Heading1"/>
        <w:spacing w:line="360" w:lineRule="auto" w:after="120" w:before="240"/>
        <w:jc w:val="left"/>
      </w:pPr>
      <w:r>
        <w:rPr>
          <w:rFonts w:ascii="Times New Roman" w:hAnsi="Times New Roman" w:cs="Times New Roman" w:eastAsia="Times New Roman"/>
          <w:b/>
          <w:i w:val="0"/>
          <w:color w:val="000000"/>
          <w:sz w:val="26"/>
        </w:rPr>
        <w:t>APÊNDICE A. QUESTIONÁRIO SOBRE FACTORES PSICOSSOCIAIS E COMPORTAMENTO AGRESSIVO</w:t>
      </w:r>
    </w:p>
    <w:p>
      <w:pPr>
        <w:spacing w:line="360" w:lineRule="auto" w:after="120" w:before="0"/>
        <w:jc w:val="both"/>
      </w:pPr>
      <w:r>
        <w:rPr>
          <w:rFonts w:ascii="Times New Roman" w:hAnsi="Times New Roman" w:cs="Times New Roman" w:eastAsia="Times New Roman"/>
          <w:b w:val="0"/>
          <w:i w:val="0"/>
          <w:color w:val="000000"/>
          <w:sz w:val="24"/>
        </w:rPr>
        <w:t>Este questionário é anónimo. Não escreva o seu nome em parte alguma. Não há respostas certas nem erradas: interessa apenas o que se passa consigo. Pode deixar sem resposta qualquer pergunta que o incomode. O preenchimento demora cerca de trinta minutos.</w:t>
      </w:r>
    </w:p>
    <w:p>
      <w:pPr>
        <w:pStyle w:val="Heading3"/>
        <w:spacing w:line="360" w:lineRule="auto" w:after="120" w:before="120"/>
        <w:jc w:val="left"/>
      </w:pPr>
      <w:r>
        <w:rPr>
          <w:rFonts w:ascii="Times New Roman" w:hAnsi="Times New Roman" w:cs="Times New Roman" w:eastAsia="Times New Roman"/>
          <w:b w:val="0"/>
          <w:i w:val="0"/>
          <w:color w:val="000000"/>
          <w:sz w:val="24"/>
        </w:rPr>
        <w:t>Secção I. Dados sociodemográficos e escolares</w:t>
      </w:r>
    </w:p>
    <w:p>
      <w:pPr>
        <w:keepNext/>
        <w:spacing w:line="276" w:lineRule="auto" w:after="20" w:before="0"/>
        <w:jc w:val="left"/>
      </w:pPr>
      <w:r>
        <w:rPr>
          <w:rFonts w:ascii="Times New Roman" w:hAnsi="Times New Roman" w:cs="Times New Roman" w:eastAsia="Times New Roman"/>
          <w:b w:val="0"/>
          <w:i w:val="0"/>
          <w:color w:val="000000"/>
          <w:sz w:val="22"/>
        </w:rPr>
        <w:t>1. Código do questionário, preenchido pelo aplicador:</w:t>
      </w:r>
    </w:p>
    <w:p>
      <w:pPr>
        <w:spacing w:line="276" w:lineRule="auto" w:after="140" w:before="0"/>
        <w:ind w:left="340"/>
        <w:jc w:val="left"/>
      </w:pPr>
      <w:r>
        <w:rPr>
          <w:rFonts w:ascii="Times New Roman" w:hAnsi="Times New Roman" w:cs="Times New Roman" w:eastAsia="Times New Roman"/>
          <w:b w:val="0"/>
          <w:i w:val="0"/>
          <w:color w:val="000000"/>
          <w:sz w:val="22"/>
        </w:rPr>
        <w:t>______</w:t>
      </w:r>
    </w:p>
    <w:p>
      <w:pPr>
        <w:keepNext/>
        <w:spacing w:line="276" w:lineRule="auto" w:after="20" w:before="0"/>
        <w:jc w:val="left"/>
      </w:pPr>
      <w:r>
        <w:rPr>
          <w:rFonts w:ascii="Times New Roman" w:hAnsi="Times New Roman" w:cs="Times New Roman" w:eastAsia="Times New Roman"/>
          <w:b w:val="0"/>
          <w:i w:val="0"/>
          <w:color w:val="000000"/>
          <w:sz w:val="22"/>
        </w:rPr>
        <w:t>2. Idade em anos completos:</w:t>
      </w:r>
    </w:p>
    <w:p>
      <w:pPr>
        <w:spacing w:line="276" w:lineRule="auto" w:after="140" w:before="0"/>
        <w:ind w:left="340"/>
        <w:jc w:val="left"/>
      </w:pPr>
      <w:r>
        <w:rPr>
          <w:rFonts w:ascii="Times New Roman" w:hAnsi="Times New Roman" w:cs="Times New Roman" w:eastAsia="Times New Roman"/>
          <w:b w:val="0"/>
          <w:i w:val="0"/>
          <w:color w:val="000000"/>
          <w:sz w:val="22"/>
        </w:rPr>
        <w:t>______</w:t>
      </w:r>
    </w:p>
    <w:p>
      <w:pPr>
        <w:keepNext/>
        <w:spacing w:line="276" w:lineRule="auto" w:after="20" w:before="0"/>
        <w:jc w:val="left"/>
      </w:pPr>
      <w:r>
        <w:rPr>
          <w:rFonts w:ascii="Times New Roman" w:hAnsi="Times New Roman" w:cs="Times New Roman" w:eastAsia="Times New Roman"/>
          <w:b w:val="0"/>
          <w:i w:val="0"/>
          <w:color w:val="000000"/>
          <w:sz w:val="22"/>
        </w:rPr>
        <w:t>3. Sexo:</w:t>
      </w:r>
    </w:p>
    <w:p>
      <w:pPr>
        <w:spacing w:line="276" w:lineRule="auto" w:after="140" w:before="0"/>
        <w:ind w:left="340"/>
        <w:jc w:val="left"/>
      </w:pPr>
      <w:r>
        <w:rPr>
          <w:rFonts w:ascii="Times New Roman" w:hAnsi="Times New Roman" w:cs="Times New Roman" w:eastAsia="Times New Roman"/>
          <w:b w:val="0"/>
          <w:i w:val="0"/>
          <w:color w:val="000000"/>
          <w:sz w:val="22"/>
        </w:rPr>
        <w:t>( ) Masculino   ( ) Feminino</w:t>
      </w:r>
    </w:p>
    <w:p>
      <w:pPr>
        <w:keepNext/>
        <w:spacing w:line="276" w:lineRule="auto" w:after="20" w:before="0"/>
        <w:jc w:val="left"/>
      </w:pPr>
      <w:r>
        <w:rPr>
          <w:rFonts w:ascii="Times New Roman" w:hAnsi="Times New Roman" w:cs="Times New Roman" w:eastAsia="Times New Roman"/>
          <w:b w:val="0"/>
          <w:i w:val="0"/>
          <w:color w:val="000000"/>
          <w:sz w:val="22"/>
        </w:rPr>
        <w:t>4. Classe que frequenta:</w:t>
      </w:r>
    </w:p>
    <w:p>
      <w:pPr>
        <w:spacing w:line="276" w:lineRule="auto" w:after="140" w:before="0"/>
        <w:ind w:left="340"/>
        <w:jc w:val="left"/>
      </w:pPr>
      <w:r>
        <w:rPr>
          <w:rFonts w:ascii="Times New Roman" w:hAnsi="Times New Roman" w:cs="Times New Roman" w:eastAsia="Times New Roman"/>
          <w:b w:val="0"/>
          <w:i w:val="0"/>
          <w:color w:val="000000"/>
          <w:sz w:val="22"/>
        </w:rPr>
        <w:t>( ) 8.ª   ( ) 9.ª   ( ) 10.ª   ( ) 11.ª   ( ) 12.ª</w:t>
      </w:r>
    </w:p>
    <w:p>
      <w:pPr>
        <w:keepNext/>
        <w:spacing w:line="276" w:lineRule="auto" w:after="20" w:before="0"/>
        <w:jc w:val="left"/>
      </w:pPr>
      <w:r>
        <w:rPr>
          <w:rFonts w:ascii="Times New Roman" w:hAnsi="Times New Roman" w:cs="Times New Roman" w:eastAsia="Times New Roman"/>
          <w:b w:val="0"/>
          <w:i w:val="0"/>
          <w:color w:val="000000"/>
          <w:sz w:val="22"/>
        </w:rPr>
        <w:t>5. Turno:</w:t>
      </w:r>
    </w:p>
    <w:p>
      <w:pPr>
        <w:spacing w:line="276" w:lineRule="auto" w:after="140" w:before="0"/>
        <w:ind w:left="340"/>
        <w:jc w:val="left"/>
      </w:pPr>
      <w:r>
        <w:rPr>
          <w:rFonts w:ascii="Times New Roman" w:hAnsi="Times New Roman" w:cs="Times New Roman" w:eastAsia="Times New Roman"/>
          <w:b w:val="0"/>
          <w:i w:val="0"/>
          <w:color w:val="000000"/>
          <w:sz w:val="22"/>
        </w:rPr>
        <w:t>( ) Manhã   ( ) Tarde   ( ) Noite</w:t>
      </w:r>
    </w:p>
    <w:p>
      <w:pPr>
        <w:keepNext/>
        <w:spacing w:line="276" w:lineRule="auto" w:after="20" w:before="0"/>
        <w:jc w:val="left"/>
      </w:pPr>
      <w:r>
        <w:rPr>
          <w:rFonts w:ascii="Times New Roman" w:hAnsi="Times New Roman" w:cs="Times New Roman" w:eastAsia="Times New Roman"/>
          <w:b w:val="0"/>
          <w:i w:val="0"/>
          <w:color w:val="000000"/>
          <w:sz w:val="22"/>
        </w:rPr>
        <w:t>6. Já repetiu alguma classe?</w:t>
      </w:r>
    </w:p>
    <w:p>
      <w:pPr>
        <w:spacing w:line="276" w:lineRule="auto" w:after="140" w:before="0"/>
        <w:ind w:left="340"/>
        <w:jc w:val="left"/>
      </w:pPr>
      <w:r>
        <w:rPr>
          <w:rFonts w:ascii="Times New Roman" w:hAnsi="Times New Roman" w:cs="Times New Roman" w:eastAsia="Times New Roman"/>
          <w:b w:val="0"/>
          <w:i w:val="0"/>
          <w:color w:val="000000"/>
          <w:sz w:val="22"/>
        </w:rPr>
        <w:t>( ) Sim   ( ) Não</w:t>
      </w:r>
    </w:p>
    <w:p>
      <w:pPr>
        <w:keepNext/>
        <w:spacing w:line="276" w:lineRule="auto" w:after="20" w:before="0"/>
        <w:jc w:val="left"/>
      </w:pPr>
      <w:r>
        <w:rPr>
          <w:rFonts w:ascii="Times New Roman" w:hAnsi="Times New Roman" w:cs="Times New Roman" w:eastAsia="Times New Roman"/>
          <w:b w:val="0"/>
          <w:i w:val="0"/>
          <w:color w:val="000000"/>
          <w:sz w:val="22"/>
        </w:rPr>
        <w:t>7. Nos últimos 30 dias, faltou às aulas sem justificação?</w:t>
      </w:r>
    </w:p>
    <w:p>
      <w:pPr>
        <w:spacing w:line="276" w:lineRule="auto" w:after="140" w:before="0"/>
        <w:ind w:left="340"/>
        <w:jc w:val="left"/>
      </w:pPr>
      <w:r>
        <w:rPr>
          <w:rFonts w:ascii="Times New Roman" w:hAnsi="Times New Roman" w:cs="Times New Roman" w:eastAsia="Times New Roman"/>
          <w:b w:val="0"/>
          <w:i w:val="0"/>
          <w:color w:val="000000"/>
          <w:sz w:val="22"/>
        </w:rPr>
        <w:t>( ) Nenhum dia   ( ) 1 a 2 dias   ( ) 3 a 5 dias   ( ) 6 ou mais dias</w:t>
      </w:r>
    </w:p>
    <w:p>
      <w:pPr>
        <w:keepNext/>
        <w:spacing w:line="276" w:lineRule="auto" w:after="20" w:before="0"/>
        <w:jc w:val="left"/>
      </w:pPr>
      <w:r>
        <w:rPr>
          <w:rFonts w:ascii="Times New Roman" w:hAnsi="Times New Roman" w:cs="Times New Roman" w:eastAsia="Times New Roman"/>
          <w:b w:val="0"/>
          <w:i w:val="0"/>
          <w:color w:val="000000"/>
          <w:sz w:val="22"/>
        </w:rPr>
        <w:t>8. Com quem vive actualmente?</w:t>
      </w:r>
    </w:p>
    <w:p>
      <w:pPr>
        <w:spacing w:line="276" w:lineRule="auto" w:after="140" w:before="0"/>
        <w:ind w:left="340"/>
        <w:jc w:val="left"/>
      </w:pPr>
      <w:r>
        <w:rPr>
          <w:rFonts w:ascii="Times New Roman" w:hAnsi="Times New Roman" w:cs="Times New Roman" w:eastAsia="Times New Roman"/>
          <w:b w:val="0"/>
          <w:i w:val="0"/>
          <w:color w:val="000000"/>
          <w:sz w:val="22"/>
        </w:rPr>
        <w:t>( ) Com o pai e a mãe   ( ) Só com a mãe   ( ) Só com o pai   ( ) Com avós ou outros familiares   ( ) Outra situação: ____________</w:t>
      </w:r>
    </w:p>
    <w:p>
      <w:pPr>
        <w:keepNext/>
        <w:spacing w:line="276" w:lineRule="auto" w:after="20" w:before="0"/>
        <w:jc w:val="left"/>
      </w:pPr>
      <w:r>
        <w:rPr>
          <w:rFonts w:ascii="Times New Roman" w:hAnsi="Times New Roman" w:cs="Times New Roman" w:eastAsia="Times New Roman"/>
          <w:b w:val="0"/>
          <w:i w:val="0"/>
          <w:color w:val="000000"/>
          <w:sz w:val="22"/>
        </w:rPr>
        <w:t>9. O pai está vivo?</w:t>
      </w:r>
    </w:p>
    <w:p>
      <w:pPr>
        <w:spacing w:line="276" w:lineRule="auto" w:after="140" w:before="0"/>
        <w:ind w:left="340"/>
        <w:jc w:val="left"/>
      </w:pPr>
      <w:r>
        <w:rPr>
          <w:rFonts w:ascii="Times New Roman" w:hAnsi="Times New Roman" w:cs="Times New Roman" w:eastAsia="Times New Roman"/>
          <w:b w:val="0"/>
          <w:i w:val="0"/>
          <w:color w:val="000000"/>
          <w:sz w:val="22"/>
        </w:rPr>
        <w:t>( ) Sim   ( ) Não   ( ) Não sabe</w:t>
      </w:r>
    </w:p>
    <w:p>
      <w:pPr>
        <w:keepNext/>
        <w:spacing w:line="276" w:lineRule="auto" w:after="20" w:before="0"/>
        <w:jc w:val="left"/>
      </w:pPr>
      <w:r>
        <w:rPr>
          <w:rFonts w:ascii="Times New Roman" w:hAnsi="Times New Roman" w:cs="Times New Roman" w:eastAsia="Times New Roman"/>
          <w:b w:val="0"/>
          <w:i w:val="0"/>
          <w:color w:val="000000"/>
          <w:sz w:val="22"/>
        </w:rPr>
        <w:t>10. A mãe está viva?</w:t>
      </w:r>
    </w:p>
    <w:p>
      <w:pPr>
        <w:spacing w:line="276" w:lineRule="auto" w:after="140" w:before="0"/>
        <w:ind w:left="340"/>
        <w:jc w:val="left"/>
      </w:pPr>
      <w:r>
        <w:rPr>
          <w:rFonts w:ascii="Times New Roman" w:hAnsi="Times New Roman" w:cs="Times New Roman" w:eastAsia="Times New Roman"/>
          <w:b w:val="0"/>
          <w:i w:val="0"/>
          <w:color w:val="000000"/>
          <w:sz w:val="22"/>
        </w:rPr>
        <w:t>( ) Sim   ( ) Não   ( ) Não sabe</w:t>
      </w:r>
    </w:p>
    <w:p>
      <w:pPr>
        <w:keepNext/>
        <w:spacing w:line="276" w:lineRule="auto" w:after="20" w:before="0"/>
        <w:jc w:val="left"/>
      </w:pPr>
      <w:r>
        <w:rPr>
          <w:rFonts w:ascii="Times New Roman" w:hAnsi="Times New Roman" w:cs="Times New Roman" w:eastAsia="Times New Roman"/>
          <w:b w:val="0"/>
          <w:i w:val="0"/>
          <w:color w:val="000000"/>
          <w:sz w:val="22"/>
        </w:rPr>
        <w:t>11. Quantas pessoas vivem na sua casa, incluindo o próprio?</w:t>
      </w:r>
    </w:p>
    <w:p>
      <w:pPr>
        <w:spacing w:line="276" w:lineRule="auto" w:after="140" w:before="0"/>
        <w:ind w:left="340"/>
        <w:jc w:val="left"/>
      </w:pPr>
      <w:r>
        <w:rPr>
          <w:rFonts w:ascii="Times New Roman" w:hAnsi="Times New Roman" w:cs="Times New Roman" w:eastAsia="Times New Roman"/>
          <w:b w:val="0"/>
          <w:i w:val="0"/>
          <w:color w:val="000000"/>
          <w:sz w:val="22"/>
        </w:rPr>
        <w:t>______</w:t>
      </w:r>
    </w:p>
    <w:p>
      <w:pPr>
        <w:keepNext/>
        <w:spacing w:line="276" w:lineRule="auto" w:after="20" w:before="0"/>
        <w:jc w:val="left"/>
      </w:pPr>
      <w:r>
        <w:rPr>
          <w:rFonts w:ascii="Times New Roman" w:hAnsi="Times New Roman" w:cs="Times New Roman" w:eastAsia="Times New Roman"/>
          <w:b w:val="0"/>
          <w:i w:val="0"/>
          <w:color w:val="000000"/>
          <w:sz w:val="22"/>
        </w:rPr>
        <w:t>12. Nos últimos 30 dias, alguma vez a sua família ficou sem comida suficiente?</w:t>
      </w:r>
    </w:p>
    <w:p>
      <w:pPr>
        <w:spacing w:line="276" w:lineRule="auto" w:after="140" w:before="0"/>
        <w:ind w:left="340"/>
        <w:jc w:val="left"/>
      </w:pPr>
      <w:r>
        <w:rPr>
          <w:rFonts w:ascii="Times New Roman" w:hAnsi="Times New Roman" w:cs="Times New Roman" w:eastAsia="Times New Roman"/>
          <w:b w:val="0"/>
          <w:i w:val="0"/>
          <w:color w:val="000000"/>
          <w:sz w:val="22"/>
        </w:rPr>
        <w:t>( ) Nunca   ( ) Raramente   ( ) Às vezes   ( ) Muitas vezes   ( ) Sempre</w:t>
      </w:r>
    </w:p>
    <w:p>
      <w:pPr>
        <w:pStyle w:val="Heading3"/>
        <w:spacing w:line="360" w:lineRule="auto" w:after="120" w:before="120"/>
        <w:jc w:val="left"/>
      </w:pPr>
      <w:r>
        <w:rPr>
          <w:rFonts w:ascii="Times New Roman" w:hAnsi="Times New Roman" w:cs="Times New Roman" w:eastAsia="Times New Roman"/>
          <w:b w:val="0"/>
          <w:i w:val="0"/>
          <w:color w:val="000000"/>
          <w:sz w:val="24"/>
        </w:rPr>
        <w:t>Secção II. Funcionamento familiar e supervisão parental</w:t>
      </w:r>
    </w:p>
    <w:p>
      <w:pPr>
        <w:spacing w:line="240" w:lineRule="auto" w:after="120" w:before="0"/>
        <w:jc w:val="left"/>
      </w:pPr>
      <w:r>
        <w:rPr>
          <w:rFonts w:ascii="Times New Roman" w:hAnsi="Times New Roman" w:cs="Times New Roman" w:eastAsia="Times New Roman"/>
          <w:b w:val="0"/>
          <w:i/>
          <w:color w:val="000000"/>
          <w:sz w:val="20"/>
        </w:rPr>
        <w:t>Nas perguntas 13 a 17, assinale: 0 = quase nunca; 1 = algumas vezes; 2 = quase sempre. Adaptado do APGAR familiar.</w:t>
      </w:r>
    </w:p>
    <w:tbl>
      <w:tblPr>
        <w:tblW w:type="auto" w:w="0"/>
        <w:jc w:val="center"/>
        <w:tblLook w:firstColumn="1" w:firstRow="1" w:lastColumn="0" w:lastRow="0" w:noHBand="0" w:noVBand="1" w:val="04A0"/>
      </w:tblPr>
      <w:tblGrid>
        <w:gridCol w:w="2268"/>
        <w:gridCol w:w="2268"/>
        <w:gridCol w:w="2268"/>
        <w:gridCol w:w="2268"/>
      </w:tblGrid>
      <w:tr>
        <w:trPr>
          <w:tblHeader/>
        </w:trPr>
        <w:tc>
          <w:tcPr>
            <w:tcW w:type="dxa" w:w="6236"/>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0"/>
              </w:rPr>
              <w:t>N.º e afirmação</w:t>
            </w:r>
          </w:p>
        </w:tc>
        <w:tc>
          <w:tcPr>
            <w:tcW w:type="dxa" w:w="907"/>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0"/>
              </w:rPr>
              <w:t>0</w:t>
            </w:r>
          </w:p>
        </w:tc>
        <w:tc>
          <w:tcPr>
            <w:tcW w:type="dxa" w:w="907"/>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0"/>
              </w:rPr>
              <w:t>1</w:t>
            </w:r>
          </w:p>
        </w:tc>
        <w:tc>
          <w:tcPr>
            <w:tcW w:type="dxa" w:w="907"/>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0"/>
              </w:rPr>
              <w:t>2</w:t>
            </w:r>
          </w:p>
        </w:tc>
      </w:tr>
      <w:tr>
        <w:tc>
          <w:tcPr>
            <w:tcW w:type="dxa" w:w="6236"/>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13. Estou satisfeito com a ajuda que recebo da minha família quando tenho um problema.</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r>
      <w:tr>
        <w:tc>
          <w:tcPr>
            <w:tcW w:type="dxa" w:w="6236"/>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14. Estou satisfeito com a forma como a minha família fala comigo sobre os assuntos e partilha os problemas.</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r>
      <w:tr>
        <w:tc>
          <w:tcPr>
            <w:tcW w:type="dxa" w:w="6236"/>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15. Estou satisfeito com a forma como a minha família aceita e apoia os meus desejos de seguir novos caminhos.</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r>
      <w:tr>
        <w:tc>
          <w:tcPr>
            <w:tcW w:type="dxa" w:w="6236"/>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16. Estou satisfeito com a forma como a minha família demonstra afecto e reage aos meus sentimentos.</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r>
      <w:tr>
        <w:tc>
          <w:tcPr>
            <w:tcW w:type="dxa" w:w="6236"/>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17. Estou satisfeito com o tempo que passo com a minha família.</w:t>
            </w:r>
          </w:p>
        </w:tc>
        <w:tc>
          <w:tcPr>
            <w:tcW w:type="dxa" w:w="907"/>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c>
          <w:tcPr>
            <w:tcW w:type="dxa" w:w="907"/>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c>
          <w:tcPr>
            <w:tcW w:type="dxa" w:w="907"/>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r>
    </w:tbl>
    <w:p>
      <w:pPr>
        <w:spacing w:line="240" w:lineRule="auto" w:after="120" w:before="0"/>
        <w:jc w:val="left"/>
      </w:pPr>
      <w:r>
        <w:rPr>
          <w:rFonts w:ascii="Times New Roman" w:hAnsi="Times New Roman" w:cs="Times New Roman" w:eastAsia="Times New Roman"/>
          <w:b w:val="0"/>
          <w:i/>
          <w:color w:val="000000"/>
          <w:sz w:val="20"/>
        </w:rPr>
        <w:t>Perguntas 18 a 20 adaptadas do inquérito global de saúde escolar.</w:t>
      </w:r>
    </w:p>
    <w:p>
      <w:pPr>
        <w:keepNext/>
        <w:spacing w:line="276" w:lineRule="auto" w:after="20" w:before="0"/>
        <w:jc w:val="left"/>
      </w:pPr>
      <w:r>
        <w:rPr>
          <w:rFonts w:ascii="Times New Roman" w:hAnsi="Times New Roman" w:cs="Times New Roman" w:eastAsia="Times New Roman"/>
          <w:b w:val="0"/>
          <w:i w:val="0"/>
          <w:color w:val="000000"/>
          <w:sz w:val="22"/>
        </w:rPr>
        <w:t>18. Nos últimos 30 dias, com que frequência os seus pais ou encarregados verificaram se fez os trabalhos de casa?</w:t>
      </w:r>
    </w:p>
    <w:p>
      <w:pPr>
        <w:spacing w:line="276" w:lineRule="auto" w:after="140" w:before="0"/>
        <w:ind w:left="340"/>
        <w:jc w:val="left"/>
      </w:pPr>
      <w:r>
        <w:rPr>
          <w:rFonts w:ascii="Times New Roman" w:hAnsi="Times New Roman" w:cs="Times New Roman" w:eastAsia="Times New Roman"/>
          <w:b w:val="0"/>
          <w:i w:val="0"/>
          <w:color w:val="000000"/>
          <w:sz w:val="22"/>
        </w:rPr>
        <w:t>( ) Nunca   ( ) Raramente   ( ) Às vezes   ( ) Quase sempre   ( ) Sempre</w:t>
      </w:r>
    </w:p>
    <w:p>
      <w:pPr>
        <w:keepNext/>
        <w:spacing w:line="276" w:lineRule="auto" w:after="20" w:before="0"/>
        <w:jc w:val="left"/>
      </w:pPr>
      <w:r>
        <w:rPr>
          <w:rFonts w:ascii="Times New Roman" w:hAnsi="Times New Roman" w:cs="Times New Roman" w:eastAsia="Times New Roman"/>
          <w:b w:val="0"/>
          <w:i w:val="0"/>
          <w:color w:val="000000"/>
          <w:sz w:val="22"/>
        </w:rPr>
        <w:t>19. Nos últimos 30 dias, com que frequência os seus pais ou encarregados souberam o que fazia no seu tempo livre?</w:t>
      </w:r>
    </w:p>
    <w:p>
      <w:pPr>
        <w:spacing w:line="276" w:lineRule="auto" w:after="140" w:before="0"/>
        <w:ind w:left="340"/>
        <w:jc w:val="left"/>
      </w:pPr>
      <w:r>
        <w:rPr>
          <w:rFonts w:ascii="Times New Roman" w:hAnsi="Times New Roman" w:cs="Times New Roman" w:eastAsia="Times New Roman"/>
          <w:b w:val="0"/>
          <w:i w:val="0"/>
          <w:color w:val="000000"/>
          <w:sz w:val="22"/>
        </w:rPr>
        <w:t>( ) Nunca   ( ) Raramente   ( ) Às vezes   ( ) Quase sempre   ( ) Sempre</w:t>
      </w:r>
    </w:p>
    <w:p>
      <w:pPr>
        <w:keepNext/>
        <w:spacing w:line="276" w:lineRule="auto" w:after="20" w:before="0"/>
        <w:jc w:val="left"/>
      </w:pPr>
      <w:r>
        <w:rPr>
          <w:rFonts w:ascii="Times New Roman" w:hAnsi="Times New Roman" w:cs="Times New Roman" w:eastAsia="Times New Roman"/>
          <w:b w:val="0"/>
          <w:i w:val="0"/>
          <w:color w:val="000000"/>
          <w:sz w:val="22"/>
        </w:rPr>
        <w:t>20. Nos últimos 30 dias, com que frequência os seus pais ou encarregados compreenderam os seus problemas e preocupações?</w:t>
      </w:r>
    </w:p>
    <w:p>
      <w:pPr>
        <w:spacing w:line="276" w:lineRule="auto" w:after="140" w:before="0"/>
        <w:ind w:left="340"/>
        <w:jc w:val="left"/>
      </w:pPr>
      <w:r>
        <w:rPr>
          <w:rFonts w:ascii="Times New Roman" w:hAnsi="Times New Roman" w:cs="Times New Roman" w:eastAsia="Times New Roman"/>
          <w:b w:val="0"/>
          <w:i w:val="0"/>
          <w:color w:val="000000"/>
          <w:sz w:val="22"/>
        </w:rPr>
        <w:t>( ) Nunca   ( ) Raramente   ( ) Às vezes   ( ) Quase sempre   ( ) Sempre</w:t>
      </w:r>
    </w:p>
    <w:p>
      <w:pPr>
        <w:pStyle w:val="Heading3"/>
        <w:spacing w:line="360" w:lineRule="auto" w:after="120" w:before="120"/>
        <w:jc w:val="left"/>
      </w:pPr>
      <w:r>
        <w:rPr>
          <w:rFonts w:ascii="Times New Roman" w:hAnsi="Times New Roman" w:cs="Times New Roman" w:eastAsia="Times New Roman"/>
          <w:b w:val="0"/>
          <w:i w:val="0"/>
          <w:color w:val="000000"/>
          <w:sz w:val="24"/>
        </w:rPr>
        <w:t>Secção III. Exposição à violência</w:t>
      </w:r>
    </w:p>
    <w:p>
      <w:pPr>
        <w:spacing w:line="240" w:lineRule="auto" w:after="120" w:before="0"/>
        <w:jc w:val="left"/>
      </w:pPr>
      <w:r>
        <w:rPr>
          <w:rFonts w:ascii="Times New Roman" w:hAnsi="Times New Roman" w:cs="Times New Roman" w:eastAsia="Times New Roman"/>
          <w:b w:val="0"/>
          <w:i/>
          <w:color w:val="000000"/>
          <w:sz w:val="20"/>
        </w:rPr>
        <w:t>Itens adaptados do questionário internacional de experiências adversas na infância da Organização Mundial da Saúde.</w:t>
      </w:r>
    </w:p>
    <w:p>
      <w:pPr>
        <w:keepNext/>
        <w:spacing w:line="276" w:lineRule="auto" w:after="20" w:before="0"/>
        <w:jc w:val="left"/>
      </w:pPr>
      <w:r>
        <w:rPr>
          <w:rFonts w:ascii="Times New Roman" w:hAnsi="Times New Roman" w:cs="Times New Roman" w:eastAsia="Times New Roman"/>
          <w:b w:val="0"/>
          <w:i w:val="0"/>
          <w:color w:val="000000"/>
          <w:sz w:val="22"/>
        </w:rPr>
        <w:t>21. Nos últimos 12 meses, algum adulto da sua casa lhe bateu, deu palmadas ou o castigou fisicamente?</w:t>
      </w:r>
    </w:p>
    <w:p>
      <w:pPr>
        <w:spacing w:line="276" w:lineRule="auto" w:after="140" w:before="0"/>
        <w:ind w:left="340"/>
        <w:jc w:val="left"/>
      </w:pPr>
      <w:r>
        <w:rPr>
          <w:rFonts w:ascii="Times New Roman" w:hAnsi="Times New Roman" w:cs="Times New Roman" w:eastAsia="Times New Roman"/>
          <w:b w:val="0"/>
          <w:i w:val="0"/>
          <w:color w:val="000000"/>
          <w:sz w:val="22"/>
        </w:rPr>
        <w:t>( ) Nunca   ( ) Uma ou duas vezes   ( ) Várias vezes   ( ) Muitas vezes</w:t>
      </w:r>
    </w:p>
    <w:p>
      <w:pPr>
        <w:keepNext/>
        <w:spacing w:line="276" w:lineRule="auto" w:after="20" w:before="0"/>
        <w:jc w:val="left"/>
      </w:pPr>
      <w:r>
        <w:rPr>
          <w:rFonts w:ascii="Times New Roman" w:hAnsi="Times New Roman" w:cs="Times New Roman" w:eastAsia="Times New Roman"/>
          <w:b w:val="0"/>
          <w:i w:val="0"/>
          <w:color w:val="000000"/>
          <w:sz w:val="22"/>
        </w:rPr>
        <w:t>22. Nos últimos 12 meses, algum adulto da sua casa o insultou, humilhou ou disse que gostaria que não tivesse nascido?</w:t>
      </w:r>
    </w:p>
    <w:p>
      <w:pPr>
        <w:spacing w:line="276" w:lineRule="auto" w:after="140" w:before="0"/>
        <w:ind w:left="340"/>
        <w:jc w:val="left"/>
      </w:pPr>
      <w:r>
        <w:rPr>
          <w:rFonts w:ascii="Times New Roman" w:hAnsi="Times New Roman" w:cs="Times New Roman" w:eastAsia="Times New Roman"/>
          <w:b w:val="0"/>
          <w:i w:val="0"/>
          <w:color w:val="000000"/>
          <w:sz w:val="22"/>
        </w:rPr>
        <w:t>( ) Nunca   ( ) Uma ou duas vezes   ( ) Várias vezes   ( ) Muitas vezes</w:t>
      </w:r>
    </w:p>
    <w:p>
      <w:pPr>
        <w:keepNext/>
        <w:spacing w:line="276" w:lineRule="auto" w:after="20" w:before="0"/>
        <w:jc w:val="left"/>
      </w:pPr>
      <w:r>
        <w:rPr>
          <w:rFonts w:ascii="Times New Roman" w:hAnsi="Times New Roman" w:cs="Times New Roman" w:eastAsia="Times New Roman"/>
          <w:b w:val="0"/>
          <w:i w:val="0"/>
          <w:color w:val="000000"/>
          <w:sz w:val="22"/>
        </w:rPr>
        <w:t>23. Nos últimos 12 meses, viu ou ouviu adultos da sua casa a baterem-se uns aos outros?</w:t>
      </w:r>
    </w:p>
    <w:p>
      <w:pPr>
        <w:spacing w:line="276" w:lineRule="auto" w:after="140" w:before="0"/>
        <w:ind w:left="340"/>
        <w:jc w:val="left"/>
      </w:pPr>
      <w:r>
        <w:rPr>
          <w:rFonts w:ascii="Times New Roman" w:hAnsi="Times New Roman" w:cs="Times New Roman" w:eastAsia="Times New Roman"/>
          <w:b w:val="0"/>
          <w:i w:val="0"/>
          <w:color w:val="000000"/>
          <w:sz w:val="22"/>
        </w:rPr>
        <w:t>( ) Nunca   ( ) Uma ou duas vezes   ( ) Várias vezes   ( ) Muitas vezes</w:t>
      </w:r>
    </w:p>
    <w:p>
      <w:pPr>
        <w:keepNext/>
        <w:spacing w:line="276" w:lineRule="auto" w:after="20" w:before="0"/>
        <w:jc w:val="left"/>
      </w:pPr>
      <w:r>
        <w:rPr>
          <w:rFonts w:ascii="Times New Roman" w:hAnsi="Times New Roman" w:cs="Times New Roman" w:eastAsia="Times New Roman"/>
          <w:b w:val="0"/>
          <w:i w:val="0"/>
          <w:color w:val="000000"/>
          <w:sz w:val="22"/>
        </w:rPr>
        <w:t>24. Nos últimos 12 meses, viu alguém ser agredido na rua ou no bairro onde vive?</w:t>
      </w:r>
    </w:p>
    <w:p>
      <w:pPr>
        <w:spacing w:line="276" w:lineRule="auto" w:after="140" w:before="0"/>
        <w:ind w:left="340"/>
        <w:jc w:val="left"/>
      </w:pPr>
      <w:r>
        <w:rPr>
          <w:rFonts w:ascii="Times New Roman" w:hAnsi="Times New Roman" w:cs="Times New Roman" w:eastAsia="Times New Roman"/>
          <w:b w:val="0"/>
          <w:i w:val="0"/>
          <w:color w:val="000000"/>
          <w:sz w:val="22"/>
        </w:rPr>
        <w:t>( ) Nunca   ( ) Uma ou duas vezes   ( ) Várias vezes   ( ) Muitas vezes</w:t>
      </w:r>
    </w:p>
    <w:p>
      <w:pPr>
        <w:keepNext/>
        <w:spacing w:line="276" w:lineRule="auto" w:after="20" w:before="0"/>
        <w:jc w:val="left"/>
      </w:pPr>
      <w:r>
        <w:rPr>
          <w:rFonts w:ascii="Times New Roman" w:hAnsi="Times New Roman" w:cs="Times New Roman" w:eastAsia="Times New Roman"/>
          <w:b w:val="0"/>
          <w:i w:val="0"/>
          <w:color w:val="000000"/>
          <w:sz w:val="22"/>
        </w:rPr>
        <w:t>25. Nos últimos 12 meses, algum professor ou funcionário da escola lhe bateu ou o castigou fisicamente?</w:t>
      </w:r>
    </w:p>
    <w:p>
      <w:pPr>
        <w:spacing w:line="276" w:lineRule="auto" w:after="140" w:before="0"/>
        <w:ind w:left="340"/>
        <w:jc w:val="left"/>
      </w:pPr>
      <w:r>
        <w:rPr>
          <w:rFonts w:ascii="Times New Roman" w:hAnsi="Times New Roman" w:cs="Times New Roman" w:eastAsia="Times New Roman"/>
          <w:b w:val="0"/>
          <w:i w:val="0"/>
          <w:color w:val="000000"/>
          <w:sz w:val="22"/>
        </w:rPr>
        <w:t>( ) Nunca   ( ) Uma ou duas vezes   ( ) Várias vezes   ( ) Muitas vezes</w:t>
      </w:r>
    </w:p>
    <w:p>
      <w:pPr>
        <w:pStyle w:val="Heading3"/>
        <w:spacing w:line="360" w:lineRule="auto" w:after="120" w:before="120"/>
        <w:jc w:val="left"/>
      </w:pPr>
      <w:r>
        <w:rPr>
          <w:rFonts w:ascii="Times New Roman" w:hAnsi="Times New Roman" w:cs="Times New Roman" w:eastAsia="Times New Roman"/>
          <w:b w:val="0"/>
          <w:i w:val="0"/>
          <w:color w:val="000000"/>
          <w:sz w:val="24"/>
        </w:rPr>
        <w:t>Secção IV. Escola e grupo de pares</w:t>
      </w:r>
    </w:p>
    <w:p>
      <w:pPr>
        <w:keepNext/>
        <w:spacing w:line="276" w:lineRule="auto" w:after="20" w:before="0"/>
        <w:jc w:val="left"/>
      </w:pPr>
      <w:r>
        <w:rPr>
          <w:rFonts w:ascii="Times New Roman" w:hAnsi="Times New Roman" w:cs="Times New Roman" w:eastAsia="Times New Roman"/>
          <w:b w:val="0"/>
          <w:i w:val="0"/>
          <w:color w:val="000000"/>
          <w:sz w:val="22"/>
        </w:rPr>
        <w:t>26. Nos últimos 30 dias, em quantos dias foi vítima de bullying, ou seja, gozado, ameaçado, excluído ou agredido repetidamente por colegas?</w:t>
      </w:r>
    </w:p>
    <w:p>
      <w:pPr>
        <w:spacing w:line="276" w:lineRule="auto" w:after="140" w:before="0"/>
        <w:ind w:left="340"/>
        <w:jc w:val="left"/>
      </w:pPr>
      <w:r>
        <w:rPr>
          <w:rFonts w:ascii="Times New Roman" w:hAnsi="Times New Roman" w:cs="Times New Roman" w:eastAsia="Times New Roman"/>
          <w:b w:val="0"/>
          <w:i w:val="0"/>
          <w:color w:val="000000"/>
          <w:sz w:val="22"/>
        </w:rPr>
        <w:t>( ) Nenhum dia   ( ) 1 a 2 dias   ( ) 3 a 5 dias   ( ) 6 ou mais dias</w:t>
      </w:r>
    </w:p>
    <w:p>
      <w:pPr>
        <w:keepNext/>
        <w:spacing w:line="276" w:lineRule="auto" w:after="20" w:before="0"/>
        <w:jc w:val="left"/>
      </w:pPr>
      <w:r>
        <w:rPr>
          <w:rFonts w:ascii="Times New Roman" w:hAnsi="Times New Roman" w:cs="Times New Roman" w:eastAsia="Times New Roman"/>
          <w:b w:val="0"/>
          <w:i w:val="0"/>
          <w:color w:val="000000"/>
          <w:sz w:val="22"/>
        </w:rPr>
        <w:t>27. Nos últimos 12 meses, quantas vezes se envolveu em lutas físicas?</w:t>
      </w:r>
    </w:p>
    <w:p>
      <w:pPr>
        <w:spacing w:line="276" w:lineRule="auto" w:after="140" w:before="0"/>
        <w:ind w:left="340"/>
        <w:jc w:val="left"/>
      </w:pPr>
      <w:r>
        <w:rPr>
          <w:rFonts w:ascii="Times New Roman" w:hAnsi="Times New Roman" w:cs="Times New Roman" w:eastAsia="Times New Roman"/>
          <w:b w:val="0"/>
          <w:i w:val="0"/>
          <w:color w:val="000000"/>
          <w:sz w:val="22"/>
        </w:rPr>
        <w:t>( ) Nenhuma vez   ( ) 1 vez   ( ) 2 a 3 vezes   ( ) 4 ou mais vezes</w:t>
      </w:r>
    </w:p>
    <w:p>
      <w:pPr>
        <w:keepNext/>
        <w:spacing w:line="276" w:lineRule="auto" w:after="20" w:before="0"/>
        <w:jc w:val="left"/>
      </w:pPr>
      <w:r>
        <w:rPr>
          <w:rFonts w:ascii="Times New Roman" w:hAnsi="Times New Roman" w:cs="Times New Roman" w:eastAsia="Times New Roman"/>
          <w:b w:val="0"/>
          <w:i w:val="0"/>
          <w:color w:val="000000"/>
          <w:sz w:val="22"/>
        </w:rPr>
        <w:t>28. Sinto que faço parte desta escola.</w:t>
      </w:r>
    </w:p>
    <w:p>
      <w:pPr>
        <w:spacing w:line="276" w:lineRule="auto" w:after="140" w:before="0"/>
        <w:ind w:left="340"/>
        <w:jc w:val="left"/>
      </w:pPr>
      <w:r>
        <w:rPr>
          <w:rFonts w:ascii="Times New Roman" w:hAnsi="Times New Roman" w:cs="Times New Roman" w:eastAsia="Times New Roman"/>
          <w:b w:val="0"/>
          <w:i w:val="0"/>
          <w:color w:val="000000"/>
          <w:sz w:val="22"/>
        </w:rPr>
        <w:t>( ) Discordo totalmente   ( ) Discordo   ( ) Concordo   ( ) Concordo totalmente</w:t>
      </w:r>
    </w:p>
    <w:p>
      <w:pPr>
        <w:keepNext/>
        <w:spacing w:line="276" w:lineRule="auto" w:after="20" w:before="0"/>
        <w:jc w:val="left"/>
      </w:pPr>
      <w:r>
        <w:rPr>
          <w:rFonts w:ascii="Times New Roman" w:hAnsi="Times New Roman" w:cs="Times New Roman" w:eastAsia="Times New Roman"/>
          <w:b w:val="0"/>
          <w:i w:val="0"/>
          <w:color w:val="000000"/>
          <w:sz w:val="22"/>
        </w:rPr>
        <w:t>29. Os professores desta escola preocupam-se comigo.</w:t>
      </w:r>
    </w:p>
    <w:p>
      <w:pPr>
        <w:spacing w:line="276" w:lineRule="auto" w:after="140" w:before="0"/>
        <w:ind w:left="340"/>
        <w:jc w:val="left"/>
      </w:pPr>
      <w:r>
        <w:rPr>
          <w:rFonts w:ascii="Times New Roman" w:hAnsi="Times New Roman" w:cs="Times New Roman" w:eastAsia="Times New Roman"/>
          <w:b w:val="0"/>
          <w:i w:val="0"/>
          <w:color w:val="000000"/>
          <w:sz w:val="22"/>
        </w:rPr>
        <w:t>( ) Discordo totalmente   ( ) Discordo   ( ) Concordo   ( ) Concordo totalmente</w:t>
      </w:r>
    </w:p>
    <w:p>
      <w:pPr>
        <w:keepNext/>
        <w:spacing w:line="276" w:lineRule="auto" w:after="20" w:before="0"/>
        <w:jc w:val="left"/>
      </w:pPr>
      <w:r>
        <w:rPr>
          <w:rFonts w:ascii="Times New Roman" w:hAnsi="Times New Roman" w:cs="Times New Roman" w:eastAsia="Times New Roman"/>
          <w:b w:val="0"/>
          <w:i w:val="0"/>
          <w:color w:val="000000"/>
          <w:sz w:val="22"/>
        </w:rPr>
        <w:t>30. Na maior parte dos dias, gosto de vir à escola.</w:t>
      </w:r>
    </w:p>
    <w:p>
      <w:pPr>
        <w:spacing w:line="276" w:lineRule="auto" w:after="140" w:before="0"/>
        <w:ind w:left="340"/>
        <w:jc w:val="left"/>
      </w:pPr>
      <w:r>
        <w:rPr>
          <w:rFonts w:ascii="Times New Roman" w:hAnsi="Times New Roman" w:cs="Times New Roman" w:eastAsia="Times New Roman"/>
          <w:b w:val="0"/>
          <w:i w:val="0"/>
          <w:color w:val="000000"/>
          <w:sz w:val="22"/>
        </w:rPr>
        <w:t>( ) Discordo totalmente   ( ) Discordo   ( ) Concordo   ( ) Concordo totalmente</w:t>
      </w:r>
    </w:p>
    <w:p>
      <w:pPr>
        <w:keepNext/>
        <w:spacing w:line="276" w:lineRule="auto" w:after="20" w:before="0"/>
        <w:jc w:val="left"/>
      </w:pPr>
      <w:r>
        <w:rPr>
          <w:rFonts w:ascii="Times New Roman" w:hAnsi="Times New Roman" w:cs="Times New Roman" w:eastAsia="Times New Roman"/>
          <w:b w:val="0"/>
          <w:i w:val="0"/>
          <w:color w:val="000000"/>
          <w:sz w:val="22"/>
        </w:rPr>
        <w:t>31. Quantos dos seus amigos próximos já se envolveram em lutas ou confusões?</w:t>
      </w:r>
    </w:p>
    <w:p>
      <w:pPr>
        <w:spacing w:line="276" w:lineRule="auto" w:after="140" w:before="0"/>
        <w:ind w:left="340"/>
        <w:jc w:val="left"/>
      </w:pPr>
      <w:r>
        <w:rPr>
          <w:rFonts w:ascii="Times New Roman" w:hAnsi="Times New Roman" w:cs="Times New Roman" w:eastAsia="Times New Roman"/>
          <w:b w:val="0"/>
          <w:i w:val="0"/>
          <w:color w:val="000000"/>
          <w:sz w:val="22"/>
        </w:rPr>
        <w:t>( ) Nenhum   ( ) Um   ( ) Dois   ( ) Três ou mais</w:t>
      </w:r>
    </w:p>
    <w:p>
      <w:pPr>
        <w:keepNext/>
        <w:spacing w:line="276" w:lineRule="auto" w:after="20" w:before="0"/>
        <w:jc w:val="left"/>
      </w:pPr>
      <w:r>
        <w:rPr>
          <w:rFonts w:ascii="Times New Roman" w:hAnsi="Times New Roman" w:cs="Times New Roman" w:eastAsia="Times New Roman"/>
          <w:b w:val="0"/>
          <w:i w:val="0"/>
          <w:color w:val="000000"/>
          <w:sz w:val="22"/>
        </w:rPr>
        <w:t>32. Quantos dos seus amigos próximos bebem álcool ou consomem drogas?</w:t>
      </w:r>
    </w:p>
    <w:p>
      <w:pPr>
        <w:spacing w:line="276" w:lineRule="auto" w:after="140" w:before="0"/>
        <w:ind w:left="340"/>
        <w:jc w:val="left"/>
      </w:pPr>
      <w:r>
        <w:rPr>
          <w:rFonts w:ascii="Times New Roman" w:hAnsi="Times New Roman" w:cs="Times New Roman" w:eastAsia="Times New Roman"/>
          <w:b w:val="0"/>
          <w:i w:val="0"/>
          <w:color w:val="000000"/>
          <w:sz w:val="22"/>
        </w:rPr>
        <w:t>( ) Nenhum   ( ) Um   ( ) Dois   ( ) Três ou mais</w:t>
      </w:r>
    </w:p>
    <w:p>
      <w:pPr>
        <w:keepNext/>
        <w:spacing w:line="276" w:lineRule="auto" w:after="20" w:before="0"/>
        <w:jc w:val="left"/>
      </w:pPr>
      <w:r>
        <w:rPr>
          <w:rFonts w:ascii="Times New Roman" w:hAnsi="Times New Roman" w:cs="Times New Roman" w:eastAsia="Times New Roman"/>
          <w:b w:val="0"/>
          <w:i w:val="0"/>
          <w:color w:val="000000"/>
          <w:sz w:val="22"/>
        </w:rPr>
        <w:t>33. Quantos dos seus amigos próximos faltam frequentemente às aulas?</w:t>
      </w:r>
    </w:p>
    <w:p>
      <w:pPr>
        <w:spacing w:line="276" w:lineRule="auto" w:after="140" w:before="0"/>
        <w:ind w:left="340"/>
        <w:jc w:val="left"/>
      </w:pPr>
      <w:r>
        <w:rPr>
          <w:rFonts w:ascii="Times New Roman" w:hAnsi="Times New Roman" w:cs="Times New Roman" w:eastAsia="Times New Roman"/>
          <w:b w:val="0"/>
          <w:i w:val="0"/>
          <w:color w:val="000000"/>
          <w:sz w:val="22"/>
        </w:rPr>
        <w:t>( ) Nenhum   ( ) Um   ( ) Dois   ( ) Três ou mais</w:t>
      </w:r>
    </w:p>
    <w:p>
      <w:pPr>
        <w:pStyle w:val="Heading3"/>
        <w:spacing w:line="360" w:lineRule="auto" w:after="120" w:before="120"/>
        <w:jc w:val="left"/>
      </w:pPr>
      <w:r>
        <w:rPr>
          <w:rFonts w:ascii="Times New Roman" w:hAnsi="Times New Roman" w:cs="Times New Roman" w:eastAsia="Times New Roman"/>
          <w:b w:val="0"/>
          <w:i w:val="0"/>
          <w:color w:val="000000"/>
          <w:sz w:val="24"/>
        </w:rPr>
        <w:t>Secção V. Consumo de substâncias e exposição a conteúdos violentos</w:t>
      </w:r>
    </w:p>
    <w:p>
      <w:pPr>
        <w:keepNext/>
        <w:spacing w:line="276" w:lineRule="auto" w:after="20" w:before="0"/>
        <w:jc w:val="left"/>
      </w:pPr>
      <w:r>
        <w:rPr>
          <w:rFonts w:ascii="Times New Roman" w:hAnsi="Times New Roman" w:cs="Times New Roman" w:eastAsia="Times New Roman"/>
          <w:b w:val="0"/>
          <w:i w:val="0"/>
          <w:color w:val="000000"/>
          <w:sz w:val="22"/>
        </w:rPr>
        <w:t>34. Nos últimos 30 dias, em quantos dias bebeu pelo menos uma bebida alcoólica?</w:t>
      </w:r>
    </w:p>
    <w:p>
      <w:pPr>
        <w:spacing w:line="276" w:lineRule="auto" w:after="140" w:before="0"/>
        <w:ind w:left="340"/>
        <w:jc w:val="left"/>
      </w:pPr>
      <w:r>
        <w:rPr>
          <w:rFonts w:ascii="Times New Roman" w:hAnsi="Times New Roman" w:cs="Times New Roman" w:eastAsia="Times New Roman"/>
          <w:b w:val="0"/>
          <w:i w:val="0"/>
          <w:color w:val="000000"/>
          <w:sz w:val="22"/>
        </w:rPr>
        <w:t>( ) Nenhum dia   ( ) 1 a 2 dias   ( ) 3 a 9 dias   ( ) 10 ou mais dias</w:t>
      </w:r>
    </w:p>
    <w:p>
      <w:pPr>
        <w:keepNext/>
        <w:spacing w:line="276" w:lineRule="auto" w:after="20" w:before="0"/>
        <w:jc w:val="left"/>
      </w:pPr>
      <w:r>
        <w:rPr>
          <w:rFonts w:ascii="Times New Roman" w:hAnsi="Times New Roman" w:cs="Times New Roman" w:eastAsia="Times New Roman"/>
          <w:b w:val="0"/>
          <w:i w:val="0"/>
          <w:color w:val="000000"/>
          <w:sz w:val="22"/>
        </w:rPr>
        <w:t>35. Nos últimos 30 dias, em quantos dias fumou cigarros ou usou tabaco?</w:t>
      </w:r>
    </w:p>
    <w:p>
      <w:pPr>
        <w:spacing w:line="276" w:lineRule="auto" w:after="140" w:before="0"/>
        <w:ind w:left="340"/>
        <w:jc w:val="left"/>
      </w:pPr>
      <w:r>
        <w:rPr>
          <w:rFonts w:ascii="Times New Roman" w:hAnsi="Times New Roman" w:cs="Times New Roman" w:eastAsia="Times New Roman"/>
          <w:b w:val="0"/>
          <w:i w:val="0"/>
          <w:color w:val="000000"/>
          <w:sz w:val="22"/>
        </w:rPr>
        <w:t>( ) Nenhum dia   ( ) 1 a 2 dias   ( ) 3 a 9 dias   ( ) 10 ou mais dias</w:t>
      </w:r>
    </w:p>
    <w:p>
      <w:pPr>
        <w:keepNext/>
        <w:spacing w:line="276" w:lineRule="auto" w:after="20" w:before="0"/>
        <w:jc w:val="left"/>
      </w:pPr>
      <w:r>
        <w:rPr>
          <w:rFonts w:ascii="Times New Roman" w:hAnsi="Times New Roman" w:cs="Times New Roman" w:eastAsia="Times New Roman"/>
          <w:b w:val="0"/>
          <w:i w:val="0"/>
          <w:color w:val="000000"/>
          <w:sz w:val="22"/>
        </w:rPr>
        <w:t>36. Alguma vez consumiu suruma, canábis ou outra droga?</w:t>
      </w:r>
    </w:p>
    <w:p>
      <w:pPr>
        <w:spacing w:line="276" w:lineRule="auto" w:after="140" w:before="0"/>
        <w:ind w:left="340"/>
        <w:jc w:val="left"/>
      </w:pPr>
      <w:r>
        <w:rPr>
          <w:rFonts w:ascii="Times New Roman" w:hAnsi="Times New Roman" w:cs="Times New Roman" w:eastAsia="Times New Roman"/>
          <w:b w:val="0"/>
          <w:i w:val="0"/>
          <w:color w:val="000000"/>
          <w:sz w:val="22"/>
        </w:rPr>
        <w:t>( ) Nunca   ( ) Sim, no passado   ( ) Sim, nos últimos 30 dias</w:t>
      </w:r>
    </w:p>
    <w:p>
      <w:pPr>
        <w:keepNext/>
        <w:spacing w:line="276" w:lineRule="auto" w:after="20" w:before="0"/>
        <w:jc w:val="left"/>
      </w:pPr>
      <w:r>
        <w:rPr>
          <w:rFonts w:ascii="Times New Roman" w:hAnsi="Times New Roman" w:cs="Times New Roman" w:eastAsia="Times New Roman"/>
          <w:b w:val="0"/>
          <w:i w:val="0"/>
          <w:color w:val="000000"/>
          <w:sz w:val="22"/>
        </w:rPr>
        <w:t>37. Quanto tempo por dia passa a ver filmes, vídeos ou jogos com conteúdo violento?</w:t>
      </w:r>
    </w:p>
    <w:p>
      <w:pPr>
        <w:spacing w:line="276" w:lineRule="auto" w:after="140" w:before="0"/>
        <w:ind w:left="340"/>
        <w:jc w:val="left"/>
      </w:pPr>
      <w:r>
        <w:rPr>
          <w:rFonts w:ascii="Times New Roman" w:hAnsi="Times New Roman" w:cs="Times New Roman" w:eastAsia="Times New Roman"/>
          <w:b w:val="0"/>
          <w:i w:val="0"/>
          <w:color w:val="000000"/>
          <w:sz w:val="22"/>
        </w:rPr>
        <w:t>( ) Menos de uma hora   ( ) Uma a três horas   ( ) Mais de três horas</w:t>
      </w:r>
    </w:p>
    <w:p>
      <w:pPr>
        <w:pStyle w:val="Heading3"/>
        <w:spacing w:line="360" w:lineRule="auto" w:after="120" w:before="120"/>
        <w:jc w:val="left"/>
      </w:pPr>
      <w:r>
        <w:rPr>
          <w:rFonts w:ascii="Times New Roman" w:hAnsi="Times New Roman" w:cs="Times New Roman" w:eastAsia="Times New Roman"/>
          <w:b w:val="0"/>
          <w:i w:val="0"/>
          <w:color w:val="000000"/>
          <w:sz w:val="24"/>
        </w:rPr>
        <w:t>Secção VI. Sintomas emocionais</w:t>
      </w:r>
    </w:p>
    <w:p>
      <w:pPr>
        <w:spacing w:line="240" w:lineRule="auto" w:after="120" w:before="0"/>
        <w:jc w:val="left"/>
      </w:pPr>
      <w:r>
        <w:rPr>
          <w:rFonts w:ascii="Times New Roman" w:hAnsi="Times New Roman" w:cs="Times New Roman" w:eastAsia="Times New Roman"/>
          <w:b w:val="0"/>
          <w:i/>
          <w:color w:val="000000"/>
          <w:sz w:val="20"/>
        </w:rPr>
        <w:t>Nas perguntas 38 a 42, assinale: 0 = não é verdade; 1 = é um pouco verdade; 2 = é muito verdade. Subescala de sintomas emocionais do Questionário de Capacidades e de Dificuldades.</w:t>
      </w:r>
    </w:p>
    <w:tbl>
      <w:tblPr>
        <w:tblW w:type="auto" w:w="0"/>
        <w:jc w:val="center"/>
        <w:tblLook w:firstColumn="1" w:firstRow="1" w:lastColumn="0" w:lastRow="0" w:noHBand="0" w:noVBand="1" w:val="04A0"/>
      </w:tblPr>
      <w:tblGrid>
        <w:gridCol w:w="2268"/>
        <w:gridCol w:w="2268"/>
        <w:gridCol w:w="2268"/>
        <w:gridCol w:w="2268"/>
      </w:tblGrid>
      <w:tr>
        <w:trPr>
          <w:tblHeader/>
        </w:trPr>
        <w:tc>
          <w:tcPr>
            <w:tcW w:type="dxa" w:w="6236"/>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0"/>
              </w:rPr>
              <w:t>N.º e afirmação</w:t>
            </w:r>
          </w:p>
        </w:tc>
        <w:tc>
          <w:tcPr>
            <w:tcW w:type="dxa" w:w="907"/>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0"/>
              </w:rPr>
              <w:t>0</w:t>
            </w:r>
          </w:p>
        </w:tc>
        <w:tc>
          <w:tcPr>
            <w:tcW w:type="dxa" w:w="907"/>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0"/>
              </w:rPr>
              <w:t>1</w:t>
            </w:r>
          </w:p>
        </w:tc>
        <w:tc>
          <w:tcPr>
            <w:tcW w:type="dxa" w:w="907"/>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20"/>
              </w:rPr>
              <w:t>2</w:t>
            </w:r>
          </w:p>
        </w:tc>
      </w:tr>
      <w:tr>
        <w:tc>
          <w:tcPr>
            <w:tcW w:type="dxa" w:w="6236"/>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38. Queixo-me muitas vezes de dores de cabeça, de dores de barriga ou de má disposição.</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r>
      <w:tr>
        <w:tc>
          <w:tcPr>
            <w:tcW w:type="dxa" w:w="6236"/>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39. Preocupo-me muito com as coisas.</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r>
      <w:tr>
        <w:tc>
          <w:tcPr>
            <w:tcW w:type="dxa" w:w="6236"/>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40. Sinto-me muitas vezes triste, desanimado ou com vontade de chorar.</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r>
      <w:tr>
        <w:tc>
          <w:tcPr>
            <w:tcW w:type="dxa" w:w="6236"/>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41. Fico nervoso em situações novas e perco facilmente a confiança.</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c>
          <w:tcPr>
            <w:tcW w:type="dxa" w:w="90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r>
      <w:tr>
        <w:tc>
          <w:tcPr>
            <w:tcW w:type="dxa" w:w="6236"/>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42. Tenho muitos medos e assusto-me com facilidade.</w:t>
            </w:r>
          </w:p>
        </w:tc>
        <w:tc>
          <w:tcPr>
            <w:tcW w:type="dxa" w:w="907"/>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c>
          <w:tcPr>
            <w:tcW w:type="dxa" w:w="907"/>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c>
          <w:tcPr>
            <w:tcW w:type="dxa" w:w="907"/>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20"/>
              </w:rPr>
              <w:t>( )</w:t>
            </w:r>
          </w:p>
        </w:tc>
      </w:tr>
    </w:tbl>
    <w:p>
      <w:pPr>
        <w:pStyle w:val="Heading3"/>
        <w:spacing w:line="360" w:lineRule="auto" w:after="120" w:before="120"/>
        <w:jc w:val="left"/>
      </w:pPr>
      <w:r>
        <w:rPr>
          <w:rFonts w:ascii="Times New Roman" w:hAnsi="Times New Roman" w:cs="Times New Roman" w:eastAsia="Times New Roman"/>
          <w:b w:val="0"/>
          <w:i w:val="0"/>
          <w:color w:val="000000"/>
          <w:sz w:val="24"/>
        </w:rPr>
        <w:t>Secção VII. Comportamento agressivo</w:t>
      </w:r>
    </w:p>
    <w:p>
      <w:pPr>
        <w:spacing w:line="240" w:lineRule="auto" w:after="120" w:before="0"/>
        <w:jc w:val="left"/>
      </w:pPr>
      <w:r>
        <w:rPr>
          <w:rFonts w:ascii="Times New Roman" w:hAnsi="Times New Roman" w:cs="Times New Roman" w:eastAsia="Times New Roman"/>
          <w:b w:val="0"/>
          <w:i/>
          <w:color w:val="000000"/>
          <w:sz w:val="20"/>
        </w:rPr>
        <w:t>Nas perguntas 43 a 54, indique até que ponto cada afirmação o descreve: 1 = muito diferente de mim; 2 = diferente de mim; 3 = nem uma coisa nem outra; 4 = parecido comigo; 5 = muito parecido comigo. Itens correspondentes à forma reduzida do Questionário de Agressividade de Buss e Perry; na aplicação será usada a versão portuguesa validada, mediante autorização dos autores. A coluna da dimensão não consta da versão entregue ao aluno.</w:t>
      </w:r>
    </w:p>
    <w:tbl>
      <w:tblPr>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trPr>
        <w:tc>
          <w:tcPr>
            <w:tcW w:type="dxa" w:w="510"/>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19"/>
              </w:rPr>
              <w:t>N.º</w:t>
            </w:r>
          </w:p>
        </w:tc>
        <w:tc>
          <w:tcPr>
            <w:tcW w:type="dxa" w:w="3969"/>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19"/>
              </w:rPr>
              <w:t>Afirmação</w:t>
            </w:r>
          </w:p>
        </w:tc>
        <w:tc>
          <w:tcPr>
            <w:tcW w:type="dxa" w:w="454"/>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19"/>
              </w:rPr>
              <w:t>1</w:t>
            </w:r>
          </w:p>
        </w:tc>
        <w:tc>
          <w:tcPr>
            <w:tcW w:type="dxa" w:w="454"/>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19"/>
              </w:rPr>
              <w:t>2</w:t>
            </w:r>
          </w:p>
        </w:tc>
        <w:tc>
          <w:tcPr>
            <w:tcW w:type="dxa" w:w="454"/>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19"/>
              </w:rPr>
              <w:t>3</w:t>
            </w:r>
          </w:p>
        </w:tc>
        <w:tc>
          <w:tcPr>
            <w:tcW w:type="dxa" w:w="454"/>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19"/>
              </w:rPr>
              <w:t>4</w:t>
            </w:r>
          </w:p>
        </w:tc>
        <w:tc>
          <w:tcPr>
            <w:tcW w:type="dxa" w:w="454"/>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19"/>
              </w:rPr>
              <w:t>5</w:t>
            </w:r>
          </w:p>
        </w:tc>
        <w:tc>
          <w:tcPr>
            <w:tcW w:type="dxa" w:w="1474"/>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19"/>
              </w:rPr>
              <w:t>Dimensão</w:t>
            </w:r>
          </w:p>
        </w:tc>
      </w:tr>
      <w:tr>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43</w:t>
            </w:r>
          </w:p>
        </w:tc>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Se for suficientemente provocado, posso bater noutra pessoa.</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147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Agressão física</w:t>
            </w:r>
          </w:p>
        </w:tc>
      </w:tr>
      <w:tr>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44</w:t>
            </w:r>
          </w:p>
        </w:tc>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Já ameacei pessoas que conheço.</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147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Agressão física</w:t>
            </w:r>
          </w:p>
        </w:tc>
      </w:tr>
      <w:tr>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45</w:t>
            </w:r>
          </w:p>
        </w:tc>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Já houve situações em que cheguei a agredir alguém fisicamente.</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147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Agressão física</w:t>
            </w:r>
          </w:p>
        </w:tc>
      </w:tr>
      <w:tr>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46</w:t>
            </w:r>
          </w:p>
        </w:tc>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Os meus amigos dizem que discuto muito.</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147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Agressão verbal</w:t>
            </w:r>
          </w:p>
        </w:tc>
      </w:tr>
      <w:tr>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47</w:t>
            </w:r>
          </w:p>
        </w:tc>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Não consigo evitar discutir quando as pessoas discordam de mim.</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147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Agressão verbal</w:t>
            </w:r>
          </w:p>
        </w:tc>
      </w:tr>
      <w:tr>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48</w:t>
            </w:r>
          </w:p>
        </w:tc>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Quando as pessoas me irritam, digo-lhes o que penso delas.</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147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Agressão verbal</w:t>
            </w:r>
          </w:p>
        </w:tc>
      </w:tr>
      <w:tr>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49</w:t>
            </w:r>
          </w:p>
        </w:tc>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Por vezes sinto-me como um barril de pólvora prestes a explodir.</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147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Ira</w:t>
            </w:r>
          </w:p>
        </w:tc>
      </w:tr>
      <w:tr>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50</w:t>
            </w:r>
          </w:p>
        </w:tc>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Sou uma pessoa calma e tranquila. (item invertido)</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147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Ira</w:t>
            </w:r>
          </w:p>
        </w:tc>
      </w:tr>
      <w:tr>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51</w:t>
            </w:r>
          </w:p>
        </w:tc>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Tenho dificuldade em controlar o meu temperamento.</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147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Ira</w:t>
            </w:r>
          </w:p>
        </w:tc>
      </w:tr>
      <w:tr>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52</w:t>
            </w:r>
          </w:p>
        </w:tc>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Por vezes sinto que os outros se riem de mim nas minhas costas.</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147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Hostilidade</w:t>
            </w:r>
          </w:p>
        </w:tc>
      </w:tr>
      <w:tr>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53</w:t>
            </w:r>
          </w:p>
        </w:tc>
        <w:tc>
          <w:tcPr>
            <w:tcW w:type="dxa" w:w="3969"/>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Desconfio de pessoas desconhecidas que se mostram demasiado simpáticas.</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1474"/>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Hostilidade</w:t>
            </w:r>
          </w:p>
        </w:tc>
      </w:tr>
      <w:tr>
        <w:tc>
          <w:tcPr>
            <w:tcW w:type="dxa" w:w="510"/>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54</w:t>
            </w:r>
          </w:p>
        </w:tc>
        <w:tc>
          <w:tcPr>
            <w:tcW w:type="dxa" w:w="3969"/>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Às vezes pergunto-me porque me sinto tão amargurado com certas coisas.</w:t>
            </w:r>
          </w:p>
        </w:tc>
        <w:tc>
          <w:tcPr>
            <w:tcW w:type="dxa" w:w="454"/>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454"/>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1474"/>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Hostilidade</w:t>
            </w:r>
          </w:p>
        </w:tc>
      </w:tr>
    </w:tbl>
    <w:p>
      <w:pPr>
        <w:spacing w:line="240" w:lineRule="auto" w:after="120" w:before="0"/>
        <w:jc w:val="left"/>
      </w:pPr>
      <w:r>
        <w:rPr>
          <w:rFonts w:ascii="Times New Roman" w:hAnsi="Times New Roman" w:cs="Times New Roman" w:eastAsia="Times New Roman"/>
          <w:b w:val="0"/>
          <w:i/>
          <w:color w:val="000000"/>
          <w:sz w:val="20"/>
        </w:rPr>
        <w:t>Nas perguntas 55 a 60, indique com que frequência tal lhe aconteceu: 0 = nunca; 1 = às vezes; 2 = muitas vezes. Itens exemplificativos do Questionário de Agressão Reactiva e Proactiva; na aplicação serão usados os vinte e três itens da versão portuguesa validada, mediante autorização dos autores.</w:t>
      </w:r>
    </w:p>
    <w:tbl>
      <w:tblPr>
        <w:tblW w:type="auto" w:w="0"/>
        <w:jc w:val="center"/>
        <w:tblLook w:firstColumn="1" w:firstRow="1" w:lastColumn="0" w:lastRow="0" w:noHBand="0" w:noVBand="1" w:val="04A0"/>
      </w:tblPr>
      <w:tblGrid>
        <w:gridCol w:w="1512"/>
        <w:gridCol w:w="1512"/>
        <w:gridCol w:w="1512"/>
        <w:gridCol w:w="1512"/>
        <w:gridCol w:w="1512"/>
        <w:gridCol w:w="1512"/>
      </w:tblGrid>
      <w:tr>
        <w:trPr>
          <w:tblHeader/>
        </w:trPr>
        <w:tc>
          <w:tcPr>
            <w:tcW w:type="dxa" w:w="510"/>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19"/>
              </w:rPr>
              <w:t>N.º</w:t>
            </w:r>
          </w:p>
        </w:tc>
        <w:tc>
          <w:tcPr>
            <w:tcW w:type="dxa" w:w="4762"/>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19"/>
              </w:rPr>
              <w:t>Afirmação</w:t>
            </w:r>
          </w:p>
        </w:tc>
        <w:tc>
          <w:tcPr>
            <w:tcW w:type="dxa" w:w="510"/>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19"/>
              </w:rPr>
              <w:t>0</w:t>
            </w:r>
          </w:p>
        </w:tc>
        <w:tc>
          <w:tcPr>
            <w:tcW w:type="dxa" w:w="510"/>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19"/>
              </w:rPr>
              <w:t>1</w:t>
            </w:r>
          </w:p>
        </w:tc>
        <w:tc>
          <w:tcPr>
            <w:tcW w:type="dxa" w:w="510"/>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19"/>
              </w:rPr>
              <w:t>2</w:t>
            </w:r>
          </w:p>
        </w:tc>
        <w:tc>
          <w:tcPr>
            <w:tcW w:type="dxa" w:w="1417"/>
            <w:tcBorders>
              <w:left w:val="none" w:sz="0" w:color="000000"/>
              <w:right w:val="none" w:sz="0" w:color="000000"/>
              <w:insideV w:val="none" w:sz="0" w:color="000000"/>
              <w:top w:val="single" w:sz="8" w:color="000000"/>
              <w:bottom w:val="single" w:sz="8" w:color="000000"/>
            </w:tcBorders>
          </w:tcPr>
          <w:p>
            <w:pPr>
              <w:spacing w:line="240" w:lineRule="auto" w:after="60" w:before="0"/>
              <w:ind w:left="0" w:firstLine="0"/>
              <w:jc w:val="left"/>
            </w:pPr>
            <w:r/>
            <w:r>
              <w:rPr>
                <w:rFonts w:ascii="Times New Roman" w:hAnsi="Times New Roman" w:cs="Times New Roman" w:eastAsia="Times New Roman"/>
                <w:b/>
                <w:i w:val="0"/>
                <w:color w:val="000000"/>
                <w:sz w:val="19"/>
              </w:rPr>
              <w:t>Forma</w:t>
            </w:r>
          </w:p>
        </w:tc>
      </w:tr>
      <w:tr>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55</w:t>
            </w:r>
          </w:p>
        </w:tc>
        <w:tc>
          <w:tcPr>
            <w:tcW w:type="dxa" w:w="476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Fiquei zangado quando alguém me contrariou.</w:t>
            </w:r>
          </w:p>
        </w:tc>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141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Reactiva</w:t>
            </w:r>
          </w:p>
        </w:tc>
      </w:tr>
      <w:tr>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56</w:t>
            </w:r>
          </w:p>
        </w:tc>
        <w:tc>
          <w:tcPr>
            <w:tcW w:type="dxa" w:w="476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Reagi com raiva quando fui provocado por outros.</w:t>
            </w:r>
          </w:p>
        </w:tc>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141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Reactiva</w:t>
            </w:r>
          </w:p>
        </w:tc>
      </w:tr>
      <w:tr>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57</w:t>
            </w:r>
          </w:p>
        </w:tc>
        <w:tc>
          <w:tcPr>
            <w:tcW w:type="dxa" w:w="476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Bati em alguém quando fui gozado ou ameaçado.</w:t>
            </w:r>
          </w:p>
        </w:tc>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141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Reactiva</w:t>
            </w:r>
          </w:p>
        </w:tc>
      </w:tr>
      <w:tr>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58</w:t>
            </w:r>
          </w:p>
        </w:tc>
        <w:tc>
          <w:tcPr>
            <w:tcW w:type="dxa" w:w="476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Usei a força para obter dinheiro ou coisas de outras pessoas.</w:t>
            </w:r>
          </w:p>
        </w:tc>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141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Proactiva</w:t>
            </w:r>
          </w:p>
        </w:tc>
      </w:tr>
      <w:tr>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59</w:t>
            </w:r>
          </w:p>
        </w:tc>
        <w:tc>
          <w:tcPr>
            <w:tcW w:type="dxa" w:w="4762"/>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Ameacei ou intimidei alguém para conseguir o que queria.</w:t>
            </w:r>
          </w:p>
        </w:tc>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510"/>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1417"/>
            <w:tcBorders>
              <w:left w:val="none" w:sz="0" w:color="000000"/>
              <w:right w:val="none" w:sz="0" w:color="000000"/>
              <w:insideV w:val="none" w:sz="0" w:color="000000"/>
              <w:top w:val="none" w:sz="0" w:color="000000"/>
              <w:bottom w:val="none" w:sz="0"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Proactiva</w:t>
            </w:r>
          </w:p>
        </w:tc>
      </w:tr>
      <w:tr>
        <w:tc>
          <w:tcPr>
            <w:tcW w:type="dxa" w:w="510"/>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60</w:t>
            </w:r>
          </w:p>
        </w:tc>
        <w:tc>
          <w:tcPr>
            <w:tcW w:type="dxa" w:w="4762"/>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Fiz parte de um grupo que andou à luta para se sentir importante.</w:t>
            </w:r>
          </w:p>
        </w:tc>
        <w:tc>
          <w:tcPr>
            <w:tcW w:type="dxa" w:w="510"/>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510"/>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510"/>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 )</w:t>
            </w:r>
          </w:p>
        </w:tc>
        <w:tc>
          <w:tcPr>
            <w:tcW w:type="dxa" w:w="1417"/>
            <w:tcBorders>
              <w:left w:val="none" w:sz="0" w:color="000000"/>
              <w:right w:val="none" w:sz="0" w:color="000000"/>
              <w:insideV w:val="none" w:sz="0" w:color="000000"/>
              <w:top w:val="none" w:sz="0" w:color="000000"/>
              <w:bottom w:val="single" w:sz="8" w:color="000000"/>
            </w:tcBorders>
          </w:tcPr>
          <w:p>
            <w:pPr>
              <w:spacing w:line="240" w:lineRule="auto" w:after="60" w:before="0"/>
              <w:ind w:left="0" w:firstLine="0"/>
              <w:jc w:val="left"/>
            </w:pPr>
            <w:r/>
            <w:r>
              <w:rPr>
                <w:rFonts w:ascii="Times New Roman" w:hAnsi="Times New Roman" w:cs="Times New Roman" w:eastAsia="Times New Roman"/>
                <w:b w:val="0"/>
                <w:i w:val="0"/>
                <w:color w:val="000000"/>
                <w:sz w:val="19"/>
              </w:rPr>
              <w:t>Proactiva</w:t>
            </w:r>
          </w:p>
        </w:tc>
      </w:tr>
    </w:tbl>
    <w:p>
      <w:pPr>
        <w:spacing w:line="360" w:lineRule="auto" w:after="120" w:before="0"/>
        <w:jc w:val="both"/>
      </w:pPr>
      <w:r>
        <w:rPr>
          <w:rFonts w:ascii="Times New Roman" w:hAnsi="Times New Roman" w:cs="Times New Roman" w:eastAsia="Times New Roman"/>
          <w:b w:val="0"/>
          <w:i w:val="0"/>
          <w:color w:val="000000"/>
          <w:sz w:val="24"/>
        </w:rPr>
        <w:t>Obrigado pela sua colaboração. Se alguma pergunta o deixou preocupado ou triste, procure o aplicador no fim da sessão: ele indicará onde pode obter apoio.</w:t>
      </w:r>
    </w:p>
    <w:p>
      <w:pPr>
        <w:spacing w:line="240" w:lineRule="auto" w:after="0" w:before="0"/>
        <w:jc w:val="left"/>
      </w:pPr>
      <w:r>
        <w:br w:type="page"/>
      </w:r>
    </w:p>
    <w:p>
      <w:pPr>
        <w:pStyle w:val="Heading1"/>
        <w:spacing w:line="360" w:lineRule="auto" w:after="120" w:before="240"/>
        <w:jc w:val="left"/>
      </w:pPr>
      <w:r>
        <w:rPr>
          <w:rFonts w:ascii="Times New Roman" w:hAnsi="Times New Roman" w:cs="Times New Roman" w:eastAsia="Times New Roman"/>
          <w:b/>
          <w:i w:val="0"/>
          <w:color w:val="000000"/>
          <w:sz w:val="26"/>
        </w:rPr>
        <w:t>APÊNDICE B. FOLHA DE INFORMAÇÃO AO PARTICIPANTE E AO ENCARREGADO DE EDUCAÇÃO</w:t>
      </w:r>
    </w:p>
    <w:p>
      <w:pPr>
        <w:spacing w:line="276" w:lineRule="auto" w:after="120" w:before="0"/>
        <w:jc w:val="both"/>
      </w:pPr>
      <w:r>
        <w:rPr>
          <w:rFonts w:ascii="Times New Roman" w:hAnsi="Times New Roman" w:cs="Times New Roman" w:eastAsia="Times New Roman"/>
          <w:b/>
          <w:i w:val="0"/>
          <w:color w:val="000000"/>
          <w:sz w:val="24"/>
        </w:rPr>
        <w:t xml:space="preserve">Título do estudo: </w:t>
      </w:r>
      <w:r>
        <w:rPr>
          <w:rFonts w:ascii="Times New Roman" w:hAnsi="Times New Roman" w:cs="Times New Roman" w:eastAsia="Times New Roman"/>
          <w:b w:val="0"/>
          <w:i w:val="0"/>
          <w:color w:val="000000"/>
          <w:sz w:val="24"/>
        </w:rPr>
        <w:t>Factores psicossociais relacionados ao comportamento agressivo em adolescentes dos 10 aos 19 anos: caso da Escola Secundária de Muatala, cidade de Nampula, segundo semestre de 2026.</w:t>
      </w:r>
    </w:p>
    <w:p>
      <w:pPr>
        <w:spacing w:line="276" w:lineRule="auto" w:after="120" w:before="0"/>
        <w:jc w:val="both"/>
      </w:pPr>
      <w:r>
        <w:rPr>
          <w:rFonts w:ascii="Times New Roman" w:hAnsi="Times New Roman" w:cs="Times New Roman" w:eastAsia="Times New Roman"/>
          <w:b/>
          <w:i w:val="0"/>
          <w:color w:val="000000"/>
          <w:sz w:val="24"/>
        </w:rPr>
        <w:t xml:space="preserve">Investigador principal: </w:t>
      </w:r>
      <w:r>
        <w:rPr>
          <w:rFonts w:ascii="Times New Roman" w:hAnsi="Times New Roman" w:cs="Times New Roman" w:eastAsia="Times New Roman"/>
          <w:b w:val="0"/>
          <w:i w:val="0"/>
          <w:color w:val="000000"/>
          <w:sz w:val="24"/>
        </w:rPr>
        <w:t>(nome do estudante), estudante finalista do Curso de Psicologia da Faculdade de Ciências de Saúde da Universidade Lúrio.</w:t>
      </w:r>
    </w:p>
    <w:p>
      <w:pPr>
        <w:spacing w:line="276" w:lineRule="auto" w:after="120" w:before="0"/>
        <w:jc w:val="both"/>
      </w:pPr>
      <w:r>
        <w:rPr>
          <w:rFonts w:ascii="Times New Roman" w:hAnsi="Times New Roman" w:cs="Times New Roman" w:eastAsia="Times New Roman"/>
          <w:b/>
          <w:i w:val="0"/>
          <w:color w:val="000000"/>
          <w:sz w:val="24"/>
        </w:rPr>
        <w:t xml:space="preserve">Objectivo: </w:t>
      </w:r>
      <w:r>
        <w:rPr>
          <w:rFonts w:ascii="Times New Roman" w:hAnsi="Times New Roman" w:cs="Times New Roman" w:eastAsia="Times New Roman"/>
          <w:b w:val="0"/>
          <w:i w:val="0"/>
          <w:color w:val="000000"/>
          <w:sz w:val="24"/>
        </w:rPr>
        <w:t>Compreender que factores da família, da escola, do grupo de amigos e do bairro se relacionam com o comportamento agressivo dos adolescentes, para ajudar a escola a planear acções de prevenção.</w:t>
      </w:r>
    </w:p>
    <w:p>
      <w:pPr>
        <w:spacing w:line="276" w:lineRule="auto" w:after="120" w:before="0"/>
        <w:jc w:val="both"/>
      </w:pPr>
      <w:r>
        <w:rPr>
          <w:rFonts w:ascii="Times New Roman" w:hAnsi="Times New Roman" w:cs="Times New Roman" w:eastAsia="Times New Roman"/>
          <w:b/>
          <w:i w:val="0"/>
          <w:color w:val="000000"/>
          <w:sz w:val="24"/>
        </w:rPr>
        <w:t xml:space="preserve">Selecção dos participantes: </w:t>
      </w:r>
      <w:r>
        <w:rPr>
          <w:rFonts w:ascii="Times New Roman" w:hAnsi="Times New Roman" w:cs="Times New Roman" w:eastAsia="Times New Roman"/>
          <w:b w:val="0"/>
          <w:i w:val="0"/>
          <w:color w:val="000000"/>
          <w:sz w:val="24"/>
        </w:rPr>
        <w:t>A turma foi sorteada entre as turmas da escola. Todos os alunos da turma com idade entre os 10 e os 19 anos são convidados a participar.</w:t>
      </w:r>
    </w:p>
    <w:p>
      <w:pPr>
        <w:spacing w:line="276" w:lineRule="auto" w:after="120" w:before="0"/>
        <w:jc w:val="both"/>
      </w:pPr>
      <w:r>
        <w:rPr>
          <w:rFonts w:ascii="Times New Roman" w:hAnsi="Times New Roman" w:cs="Times New Roman" w:eastAsia="Times New Roman"/>
          <w:b/>
          <w:i w:val="0"/>
          <w:color w:val="000000"/>
          <w:sz w:val="24"/>
        </w:rPr>
        <w:t xml:space="preserve">Procedimentos: </w:t>
      </w:r>
      <w:r>
        <w:rPr>
          <w:rFonts w:ascii="Times New Roman" w:hAnsi="Times New Roman" w:cs="Times New Roman" w:eastAsia="Times New Roman"/>
          <w:b w:val="0"/>
          <w:i w:val="0"/>
          <w:color w:val="000000"/>
          <w:sz w:val="24"/>
        </w:rPr>
        <w:t>Se aceitar participar, o aluno preencherá um questionário na sala de aula, durante cerca de trinta minutos, sem escrever o nome. Ninguém saberá quais foram as suas respostas.</w:t>
      </w:r>
    </w:p>
    <w:p>
      <w:pPr>
        <w:spacing w:line="276" w:lineRule="auto" w:after="120" w:before="0"/>
        <w:jc w:val="both"/>
      </w:pPr>
      <w:r>
        <w:rPr>
          <w:rFonts w:ascii="Times New Roman" w:hAnsi="Times New Roman" w:cs="Times New Roman" w:eastAsia="Times New Roman"/>
          <w:b/>
          <w:i w:val="0"/>
          <w:color w:val="000000"/>
          <w:sz w:val="24"/>
        </w:rPr>
        <w:t xml:space="preserve">Participação voluntária: </w:t>
      </w:r>
      <w:r>
        <w:rPr>
          <w:rFonts w:ascii="Times New Roman" w:hAnsi="Times New Roman" w:cs="Times New Roman" w:eastAsia="Times New Roman"/>
          <w:b w:val="0"/>
          <w:i w:val="0"/>
          <w:color w:val="000000"/>
          <w:sz w:val="24"/>
        </w:rPr>
        <w:t>A participação é livre. O aluno pode recusar ou interromper o preenchimento em qualquer momento, sem qualquer prejuízo nas notas ou no tratamento que recebe na escola. A recusa do aluno é respeitada mesmo que o encarregado de educação tenha autorizado.</w:t>
      </w:r>
    </w:p>
    <w:p>
      <w:pPr>
        <w:spacing w:line="276" w:lineRule="auto" w:after="120" w:before="0"/>
        <w:jc w:val="both"/>
      </w:pPr>
      <w:r>
        <w:rPr>
          <w:rFonts w:ascii="Times New Roman" w:hAnsi="Times New Roman" w:cs="Times New Roman" w:eastAsia="Times New Roman"/>
          <w:b/>
          <w:i w:val="0"/>
          <w:color w:val="000000"/>
          <w:sz w:val="24"/>
        </w:rPr>
        <w:t xml:space="preserve">Riscos e desconfortos: </w:t>
      </w:r>
      <w:r>
        <w:rPr>
          <w:rFonts w:ascii="Times New Roman" w:hAnsi="Times New Roman" w:cs="Times New Roman" w:eastAsia="Times New Roman"/>
          <w:b w:val="0"/>
          <w:i w:val="0"/>
          <w:color w:val="000000"/>
          <w:sz w:val="24"/>
        </w:rPr>
        <w:t>Algumas perguntas falam de castigos, brigas e situações de violência e podem causar desconforto. O aluno pode não responder a qualquer pergunta. Estará presente uma pessoa preparada para conversar com quem se sentir incomodado.</w:t>
      </w:r>
    </w:p>
    <w:p>
      <w:pPr>
        <w:spacing w:line="276" w:lineRule="auto" w:after="120" w:before="0"/>
        <w:jc w:val="both"/>
      </w:pPr>
      <w:r>
        <w:rPr>
          <w:rFonts w:ascii="Times New Roman" w:hAnsi="Times New Roman" w:cs="Times New Roman" w:eastAsia="Times New Roman"/>
          <w:b/>
          <w:i w:val="0"/>
          <w:color w:val="000000"/>
          <w:sz w:val="24"/>
        </w:rPr>
        <w:t xml:space="preserve">Benefícios: </w:t>
      </w:r>
      <w:r>
        <w:rPr>
          <w:rFonts w:ascii="Times New Roman" w:hAnsi="Times New Roman" w:cs="Times New Roman" w:eastAsia="Times New Roman"/>
          <w:b w:val="0"/>
          <w:i w:val="0"/>
          <w:color w:val="000000"/>
          <w:sz w:val="24"/>
        </w:rPr>
        <w:t>Não há qualquer pagamento. Os resultados ajudarão a escola a organizar acções de apoio. Se for identificada uma situação que exija ajuda, o aluno será encaminhado, com o seu conhecimento, para o serviço de psicologia da unidade sanitária de referência.</w:t>
      </w:r>
    </w:p>
    <w:p>
      <w:pPr>
        <w:spacing w:line="276" w:lineRule="auto" w:after="120" w:before="0"/>
        <w:jc w:val="both"/>
      </w:pPr>
      <w:r>
        <w:rPr>
          <w:rFonts w:ascii="Times New Roman" w:hAnsi="Times New Roman" w:cs="Times New Roman" w:eastAsia="Times New Roman"/>
          <w:b/>
          <w:i w:val="0"/>
          <w:color w:val="000000"/>
          <w:sz w:val="24"/>
        </w:rPr>
        <w:t xml:space="preserve">Confidencialidade: </w:t>
      </w:r>
      <w:r>
        <w:rPr>
          <w:rFonts w:ascii="Times New Roman" w:hAnsi="Times New Roman" w:cs="Times New Roman" w:eastAsia="Times New Roman"/>
          <w:b w:val="0"/>
          <w:i w:val="0"/>
          <w:color w:val="000000"/>
          <w:sz w:val="24"/>
        </w:rPr>
        <w:t>O questionário é anónimo e identificado apenas por um código. As folhas de autorização serão guardadas separadamente das respostas. Os dados serão usados apenas para este estudo.</w:t>
      </w:r>
    </w:p>
    <w:p>
      <w:pPr>
        <w:spacing w:line="276" w:lineRule="auto" w:after="120" w:before="0"/>
        <w:jc w:val="both"/>
      </w:pPr>
      <w:r>
        <w:rPr>
          <w:rFonts w:ascii="Times New Roman" w:hAnsi="Times New Roman" w:cs="Times New Roman" w:eastAsia="Times New Roman"/>
          <w:b/>
          <w:i w:val="0"/>
          <w:color w:val="000000"/>
          <w:sz w:val="24"/>
        </w:rPr>
        <w:t xml:space="preserve">Partilha de resultados: </w:t>
      </w:r>
      <w:r>
        <w:rPr>
          <w:rFonts w:ascii="Times New Roman" w:hAnsi="Times New Roman" w:cs="Times New Roman" w:eastAsia="Times New Roman"/>
          <w:b w:val="0"/>
          <w:i w:val="0"/>
          <w:color w:val="000000"/>
          <w:sz w:val="24"/>
        </w:rPr>
        <w:t>Os resultados serão apresentados de forma agregada à escola, à Universidade Lúrio e às autoridades de educação e de saúde, sem identificar qualquer aluno.</w:t>
      </w:r>
    </w:p>
    <w:p>
      <w:pPr>
        <w:spacing w:line="276" w:lineRule="auto" w:after="120" w:before="0"/>
        <w:jc w:val="both"/>
      </w:pPr>
      <w:r>
        <w:rPr>
          <w:rFonts w:ascii="Times New Roman" w:hAnsi="Times New Roman" w:cs="Times New Roman" w:eastAsia="Times New Roman"/>
          <w:b/>
          <w:i w:val="0"/>
          <w:color w:val="000000"/>
          <w:sz w:val="24"/>
        </w:rPr>
        <w:t xml:space="preserve">Contactos: </w:t>
      </w:r>
      <w:r>
        <w:rPr>
          <w:rFonts w:ascii="Times New Roman" w:hAnsi="Times New Roman" w:cs="Times New Roman" w:eastAsia="Times New Roman"/>
          <w:b w:val="0"/>
          <w:i w:val="0"/>
          <w:color w:val="000000"/>
          <w:sz w:val="24"/>
        </w:rPr>
        <w:t>Investigador: (nome), telefone +258 ____________, correio electrónico ________________. Comité Institucional de Bioética para a Saúde da Universidade Lúrio: telefone +258 845770070.</w:t>
      </w:r>
    </w:p>
    <w:p>
      <w:pPr>
        <w:spacing w:line="240" w:lineRule="auto" w:after="0" w:before="0"/>
        <w:jc w:val="left"/>
      </w:pPr>
      <w:r>
        <w:br w:type="page"/>
      </w:r>
    </w:p>
    <w:p>
      <w:pPr>
        <w:pStyle w:val="Heading1"/>
        <w:spacing w:line="360" w:lineRule="auto" w:after="120" w:before="240"/>
        <w:jc w:val="left"/>
      </w:pPr>
      <w:r>
        <w:rPr>
          <w:rFonts w:ascii="Times New Roman" w:hAnsi="Times New Roman" w:cs="Times New Roman" w:eastAsia="Times New Roman"/>
          <w:b/>
          <w:i w:val="0"/>
          <w:color w:val="000000"/>
          <w:sz w:val="26"/>
        </w:rPr>
        <w:t>APÊNDICE C. TERMO DE CONSENTIMENTO LIVRE E ESCLARECIDO</w:t>
      </w:r>
    </w:p>
    <w:p>
      <w:pPr>
        <w:spacing w:line="240" w:lineRule="auto" w:after="200" w:before="0"/>
        <w:jc w:val="left"/>
      </w:pPr>
      <w:r>
        <w:rPr>
          <w:rFonts w:ascii="Times New Roman" w:hAnsi="Times New Roman" w:cs="Times New Roman" w:eastAsia="Times New Roman"/>
          <w:b w:val="0"/>
          <w:i/>
          <w:color w:val="000000"/>
          <w:sz w:val="22"/>
        </w:rPr>
        <w:t>A preencher pelo pai, pela mãe ou pelo responsável legal do aluno com menos de 18 anos de idade.</w:t>
      </w:r>
    </w:p>
    <w:p>
      <w:pPr>
        <w:spacing w:line="360" w:lineRule="auto" w:after="120" w:before="0"/>
        <w:jc w:val="both"/>
      </w:pPr>
      <w:r>
        <w:rPr>
          <w:rFonts w:ascii="Times New Roman" w:hAnsi="Times New Roman" w:cs="Times New Roman" w:eastAsia="Times New Roman"/>
          <w:b w:val="0"/>
          <w:i w:val="0"/>
          <w:color w:val="000000"/>
          <w:sz w:val="24"/>
        </w:rPr>
        <w:t>Eu, ________________________________________________________, na qualidade de encarregado de educação do aluno ou aluna ________________________________________, declaro que autorizo a sua participação no estudo intitulado «Factores psicossociais relacionados ao comportamento agressivo em adolescentes dos 10 aos 19 anos: caso da Escola Secundária de Muatala, cidade de Nampula, segundo semestre de 2026».</w:t>
      </w:r>
    </w:p>
    <w:p>
      <w:pPr>
        <w:spacing w:line="360" w:lineRule="auto" w:after="120" w:before="0"/>
        <w:jc w:val="both"/>
      </w:pPr>
      <w:r>
        <w:rPr>
          <w:rFonts w:ascii="Times New Roman" w:hAnsi="Times New Roman" w:cs="Times New Roman" w:eastAsia="Times New Roman"/>
          <w:b w:val="0"/>
          <w:i w:val="0"/>
          <w:color w:val="000000"/>
          <w:sz w:val="24"/>
        </w:rPr>
        <w:t>Declaro que me foi explicado, em linguagem que compreendi, o objectivo do estudo, o que será pedido ao meu educando, a duração do preenchimento e a ausência de riscos físicos.</w:t>
      </w:r>
    </w:p>
    <w:p>
      <w:pPr>
        <w:spacing w:line="360" w:lineRule="auto" w:after="120" w:before="0"/>
        <w:jc w:val="both"/>
      </w:pPr>
      <w:r>
        <w:rPr>
          <w:rFonts w:ascii="Times New Roman" w:hAnsi="Times New Roman" w:cs="Times New Roman" w:eastAsia="Times New Roman"/>
          <w:b w:val="0"/>
          <w:i w:val="0"/>
          <w:color w:val="000000"/>
          <w:sz w:val="24"/>
        </w:rPr>
        <w:t>Fui informado de que a participação é voluntária, de que o meu educando pode recusar ou desistir em qualquer momento, sem qualquer prejuízo nas notas ou no tratamento que recebe na escola, e de que a recusa dele será respeitada mesmo depois desta autorização.</w:t>
      </w:r>
    </w:p>
    <w:p>
      <w:pPr>
        <w:spacing w:line="360" w:lineRule="auto" w:after="120" w:before="0"/>
        <w:jc w:val="both"/>
      </w:pPr>
      <w:r>
        <w:rPr>
          <w:rFonts w:ascii="Times New Roman" w:hAnsi="Times New Roman" w:cs="Times New Roman" w:eastAsia="Times New Roman"/>
          <w:b w:val="0"/>
          <w:i w:val="0"/>
          <w:color w:val="000000"/>
          <w:sz w:val="24"/>
        </w:rPr>
        <w:t>Compreendi que não haverá qualquer compensação material ou financeira e que as respostas serão usadas apenas para os fins deste estudo, de forma anónima, não aparecendo o nome do meu educando em parte alguma.</w:t>
      </w:r>
    </w:p>
    <w:p>
      <w:pPr>
        <w:spacing w:line="360" w:lineRule="auto" w:after="120" w:before="0"/>
        <w:jc w:val="both"/>
      </w:pPr>
      <w:r>
        <w:rPr>
          <w:rFonts w:ascii="Times New Roman" w:hAnsi="Times New Roman" w:cs="Times New Roman" w:eastAsia="Times New Roman"/>
          <w:b w:val="0"/>
          <w:i w:val="0"/>
          <w:color w:val="000000"/>
          <w:sz w:val="24"/>
        </w:rPr>
        <w:t>Fui informado de que, se for identificada uma situação que exija apoio, o meu educando será encaminhado para o serviço de psicologia da unidade sanitária de referência.</w:t>
      </w:r>
    </w:p>
    <w:p>
      <w:pPr>
        <w:spacing w:line="360" w:lineRule="auto" w:after="120" w:before="0"/>
        <w:jc w:val="both"/>
      </w:pPr>
      <w:r>
        <w:rPr>
          <w:rFonts w:ascii="Times New Roman" w:hAnsi="Times New Roman" w:cs="Times New Roman" w:eastAsia="Times New Roman"/>
          <w:b w:val="0"/>
          <w:i w:val="0"/>
          <w:color w:val="000000"/>
          <w:sz w:val="24"/>
        </w:rPr>
        <w:t>Em caso de dúvida, posso contactar o investigador ou o Comité Institucional de Bioética para a Saúde da Universidade Lúrio, através do telefone +258 845770070.</w:t>
      </w:r>
    </w:p>
    <w:p>
      <w:pPr>
        <w:spacing w:line="360" w:lineRule="auto" w:after="280" w:before="0"/>
        <w:jc w:val="left"/>
      </w:pPr>
      <w:r>
        <w:rPr>
          <w:rFonts w:ascii="Times New Roman" w:hAnsi="Times New Roman" w:cs="Times New Roman" w:eastAsia="Times New Roman"/>
          <w:b w:val="0"/>
          <w:i w:val="0"/>
          <w:color w:val="000000"/>
          <w:sz w:val="24"/>
        </w:rPr>
        <w:t>Data: ____ / ____ / 2026</w:t>
      </w:r>
    </w:p>
    <w:p>
      <w:pPr>
        <w:spacing w:line="360" w:lineRule="auto" w:after="280" w:before="0"/>
        <w:jc w:val="left"/>
      </w:pPr>
      <w:r>
        <w:rPr>
          <w:rFonts w:ascii="Times New Roman" w:hAnsi="Times New Roman" w:cs="Times New Roman" w:eastAsia="Times New Roman"/>
          <w:b w:val="0"/>
          <w:i w:val="0"/>
          <w:color w:val="000000"/>
          <w:sz w:val="24"/>
        </w:rPr>
        <w:t>Assinatura ou impressão digital do encarregado de educação: ____________________________</w:t>
      </w:r>
    </w:p>
    <w:p>
      <w:pPr>
        <w:spacing w:line="360" w:lineRule="auto" w:after="280" w:before="0"/>
        <w:jc w:val="left"/>
      </w:pPr>
      <w:r>
        <w:rPr>
          <w:rFonts w:ascii="Times New Roman" w:hAnsi="Times New Roman" w:cs="Times New Roman" w:eastAsia="Times New Roman"/>
          <w:b w:val="0"/>
          <w:i w:val="0"/>
          <w:color w:val="000000"/>
          <w:sz w:val="24"/>
        </w:rPr>
        <w:t>Nome e assinatura da testemunha, para quem não sabe ler nem escrever: ____________________</w:t>
      </w:r>
    </w:p>
    <w:p>
      <w:pPr>
        <w:spacing w:line="360" w:lineRule="auto" w:after="280" w:before="0"/>
        <w:jc w:val="left"/>
      </w:pPr>
      <w:r>
        <w:rPr>
          <w:rFonts w:ascii="Times New Roman" w:hAnsi="Times New Roman" w:cs="Times New Roman" w:eastAsia="Times New Roman"/>
          <w:b w:val="0"/>
          <w:i w:val="0"/>
          <w:color w:val="000000"/>
          <w:sz w:val="24"/>
        </w:rPr>
        <w:t>Nome e assinatura do investigador: ____________________________</w:t>
      </w:r>
    </w:p>
    <w:p>
      <w:pPr>
        <w:spacing w:line="240" w:lineRule="auto" w:after="0" w:before="0"/>
        <w:jc w:val="left"/>
      </w:pPr>
      <w:r>
        <w:br w:type="page"/>
      </w:r>
    </w:p>
    <w:p>
      <w:pPr>
        <w:pStyle w:val="Heading1"/>
        <w:spacing w:line="360" w:lineRule="auto" w:after="120" w:before="240"/>
        <w:jc w:val="left"/>
      </w:pPr>
      <w:r>
        <w:rPr>
          <w:rFonts w:ascii="Times New Roman" w:hAnsi="Times New Roman" w:cs="Times New Roman" w:eastAsia="Times New Roman"/>
          <w:b/>
          <w:i w:val="0"/>
          <w:color w:val="000000"/>
          <w:sz w:val="26"/>
        </w:rPr>
        <w:t>APÊNDICE D. TERMO DE ASSENTIMENTO DO ADOLESCENTE</w:t>
      </w:r>
    </w:p>
    <w:p>
      <w:pPr>
        <w:spacing w:line="240" w:lineRule="auto" w:after="200" w:before="0"/>
        <w:jc w:val="left"/>
      </w:pPr>
      <w:r>
        <w:rPr>
          <w:rFonts w:ascii="Times New Roman" w:hAnsi="Times New Roman" w:cs="Times New Roman" w:eastAsia="Times New Roman"/>
          <w:b w:val="0"/>
          <w:i/>
          <w:color w:val="000000"/>
          <w:sz w:val="22"/>
        </w:rPr>
        <w:t>A preencher pelo próprio aluno, em qualquer idade, e válido como consentimento nos alunos com 18 ou mais anos.</w:t>
      </w:r>
    </w:p>
    <w:p>
      <w:pPr>
        <w:spacing w:line="360" w:lineRule="auto" w:after="120" w:before="0"/>
        <w:jc w:val="both"/>
      </w:pPr>
      <w:r>
        <w:rPr>
          <w:rFonts w:ascii="Times New Roman" w:hAnsi="Times New Roman" w:cs="Times New Roman" w:eastAsia="Times New Roman"/>
          <w:b w:val="0"/>
          <w:i w:val="0"/>
          <w:color w:val="000000"/>
          <w:sz w:val="24"/>
        </w:rPr>
        <w:t>Eu, ________________________________________________________, aceito participar num estudo sobre o que os jovens da minha escola pensam, sentem e fazem em situações de conflito, e sobre aquilo que se passa na família, na escola e no bairro.</w:t>
      </w:r>
    </w:p>
    <w:p>
      <w:pPr>
        <w:spacing w:line="360" w:lineRule="auto" w:after="120" w:before="0"/>
        <w:jc w:val="both"/>
      </w:pPr>
      <w:r>
        <w:rPr>
          <w:rFonts w:ascii="Times New Roman" w:hAnsi="Times New Roman" w:cs="Times New Roman" w:eastAsia="Times New Roman"/>
          <w:b w:val="0"/>
          <w:i w:val="0"/>
          <w:color w:val="000000"/>
          <w:sz w:val="24"/>
        </w:rPr>
        <w:t>Foi-me explicado que vou preencher um questionário anónimo, com cerca de trinta minutos, e que não devo escrever o meu nome.</w:t>
      </w:r>
    </w:p>
    <w:p>
      <w:pPr>
        <w:spacing w:line="360" w:lineRule="auto" w:after="120" w:before="0"/>
        <w:jc w:val="both"/>
      </w:pPr>
      <w:r>
        <w:rPr>
          <w:rFonts w:ascii="Times New Roman" w:hAnsi="Times New Roman" w:cs="Times New Roman" w:eastAsia="Times New Roman"/>
          <w:b w:val="0"/>
          <w:i w:val="0"/>
          <w:color w:val="000000"/>
          <w:sz w:val="24"/>
        </w:rPr>
        <w:t>Sei que não sou obrigado a responder a nenhuma pergunta e que posso parar quando quiser, sem que isso tenha qualquer consequência para mim, para as minhas notas ou para a minha relação com os professores.</w:t>
      </w:r>
    </w:p>
    <w:p>
      <w:pPr>
        <w:spacing w:line="360" w:lineRule="auto" w:after="120" w:before="0"/>
        <w:jc w:val="both"/>
      </w:pPr>
      <w:r>
        <w:rPr>
          <w:rFonts w:ascii="Times New Roman" w:hAnsi="Times New Roman" w:cs="Times New Roman" w:eastAsia="Times New Roman"/>
          <w:b w:val="0"/>
          <w:i w:val="0"/>
          <w:color w:val="000000"/>
          <w:sz w:val="24"/>
        </w:rPr>
        <w:t>Sei que algumas perguntas falam de castigos, brigas e violência e que, se me sentir incomodado, posso falar com a pessoa responsável pela sessão.</w:t>
      </w:r>
    </w:p>
    <w:p>
      <w:pPr>
        <w:spacing w:line="360" w:lineRule="auto" w:after="120" w:before="0"/>
        <w:jc w:val="both"/>
      </w:pPr>
      <w:r>
        <w:rPr>
          <w:rFonts w:ascii="Times New Roman" w:hAnsi="Times New Roman" w:cs="Times New Roman" w:eastAsia="Times New Roman"/>
          <w:b w:val="0"/>
          <w:i w:val="0"/>
          <w:color w:val="000000"/>
          <w:sz w:val="24"/>
        </w:rPr>
        <w:t>Sei que as minhas respostas não serão mostradas aos meus pais, aos meus professores nem aos meus colegas.</w:t>
      </w:r>
    </w:p>
    <w:p>
      <w:pPr>
        <w:spacing w:line="360" w:lineRule="auto" w:after="280" w:before="0"/>
        <w:jc w:val="left"/>
      </w:pPr>
      <w:r>
        <w:rPr>
          <w:rFonts w:ascii="Times New Roman" w:hAnsi="Times New Roman" w:cs="Times New Roman" w:eastAsia="Times New Roman"/>
          <w:b w:val="0"/>
          <w:i w:val="0"/>
          <w:color w:val="000000"/>
          <w:sz w:val="24"/>
        </w:rPr>
        <w:t>Data: ____ / ____ / 2026</w:t>
      </w:r>
    </w:p>
    <w:p>
      <w:pPr>
        <w:spacing w:line="360" w:lineRule="auto" w:after="280" w:before="0"/>
        <w:jc w:val="left"/>
      </w:pPr>
      <w:r>
        <w:rPr>
          <w:rFonts w:ascii="Times New Roman" w:hAnsi="Times New Roman" w:cs="Times New Roman" w:eastAsia="Times New Roman"/>
          <w:b w:val="0"/>
          <w:i w:val="0"/>
          <w:color w:val="000000"/>
          <w:sz w:val="24"/>
        </w:rPr>
        <w:t>Assinatura do aluno: ____________________________</w:t>
      </w:r>
    </w:p>
    <w:p>
      <w:pPr>
        <w:spacing w:line="360" w:lineRule="auto" w:after="280" w:before="0"/>
        <w:jc w:val="left"/>
      </w:pPr>
      <w:r>
        <w:rPr>
          <w:rFonts w:ascii="Times New Roman" w:hAnsi="Times New Roman" w:cs="Times New Roman" w:eastAsia="Times New Roman"/>
          <w:b w:val="0"/>
          <w:i w:val="0"/>
          <w:color w:val="000000"/>
          <w:sz w:val="24"/>
        </w:rPr>
        <w:t>Nome e assinatura do investigador: ____________________________</w:t>
      </w:r>
    </w:p>
    <w:p>
      <w:pPr>
        <w:spacing w:line="240" w:lineRule="auto" w:after="0" w:before="0"/>
        <w:jc w:val="left"/>
      </w:pPr>
      <w:r>
        <w:br w:type="page"/>
      </w:r>
    </w:p>
    <w:p>
      <w:pPr>
        <w:pStyle w:val="Heading1"/>
        <w:spacing w:line="360" w:lineRule="auto" w:after="120" w:before="240"/>
        <w:jc w:val="left"/>
      </w:pPr>
      <w:r>
        <w:rPr>
          <w:rFonts w:ascii="Times New Roman" w:hAnsi="Times New Roman" w:cs="Times New Roman" w:eastAsia="Times New Roman"/>
          <w:b/>
          <w:i w:val="0"/>
          <w:color w:val="000000"/>
          <w:sz w:val="26"/>
        </w:rPr>
        <w:t>APÊNDICE E. PEDIDO DE AUTORIZAÇÃO À DIRECÇÃO DA ESCOLA</w:t>
      </w:r>
    </w:p>
    <w:p>
      <w:pPr>
        <w:spacing w:line="360" w:lineRule="auto" w:after="240" w:before="0"/>
        <w:jc w:val="left"/>
      </w:pPr>
      <w:r>
        <w:rPr>
          <w:rFonts w:ascii="Times New Roman" w:hAnsi="Times New Roman" w:cs="Times New Roman" w:eastAsia="Times New Roman"/>
          <w:b w:val="0"/>
          <w:i w:val="0"/>
          <w:color w:val="000000"/>
          <w:sz w:val="24"/>
        </w:rPr>
        <w:t>Exmo. Senhor Director da Escola Secundária de Muatala</w:t>
      </w:r>
    </w:p>
    <w:p>
      <w:pPr>
        <w:spacing w:line="360" w:lineRule="auto" w:after="120" w:before="0"/>
        <w:jc w:val="both"/>
      </w:pPr>
      <w:r>
        <w:rPr>
          <w:rFonts w:ascii="Times New Roman" w:hAnsi="Times New Roman" w:cs="Times New Roman" w:eastAsia="Times New Roman"/>
          <w:b w:val="0"/>
          <w:i w:val="0"/>
          <w:color w:val="000000"/>
          <w:sz w:val="24"/>
        </w:rPr>
        <w:t>Eu, (nome do estudante), estudante finalista do Curso de Psicologia da Faculdade de Ciências de Saúde da Universidade Lúrio, venho por este meio solicitar a Vossa Excelência autorização para realizar, nesta escola, a recolha de dados do estudo intitulado «Factores psicossociais relacionados ao comportamento agressivo em adolescentes dos 10 aos 19 anos: caso da Escola Secundária de Muatala, cidade de Nampula, segundo semestre de 2026», sob orientação de (nome do orientador).</w:t>
      </w:r>
    </w:p>
    <w:p>
      <w:pPr>
        <w:spacing w:line="360" w:lineRule="auto" w:after="120" w:before="0"/>
        <w:jc w:val="both"/>
      </w:pPr>
      <w:r>
        <w:rPr>
          <w:rFonts w:ascii="Times New Roman" w:hAnsi="Times New Roman" w:cs="Times New Roman" w:eastAsia="Times New Roman"/>
          <w:b w:val="0"/>
          <w:i w:val="0"/>
          <w:color w:val="000000"/>
          <w:sz w:val="24"/>
        </w:rPr>
        <w:t>A recolha consistirá na aplicação de um questionário anónimo, de cerca de trinta minutos, a alunos de turmas seleccionadas por sorteio, em data a combinar com a direcção e fora da época de exames. O estudo foi aprovado pelo Comité Institucional de Bioética para a Saúde da Universidade Lúrio, com a referência ____________, e será precedido da autorização escrita dos encarregados de educação. A escola receberá, no final, um relatório com os resultados agregados e uma sessão de devolução dirigida à comunidade educativa.</w:t>
      </w:r>
    </w:p>
    <w:p>
      <w:pPr>
        <w:spacing w:line="360" w:lineRule="auto" w:after="280" w:before="0"/>
        <w:jc w:val="left"/>
      </w:pPr>
      <w:r>
        <w:rPr>
          <w:rFonts w:ascii="Times New Roman" w:hAnsi="Times New Roman" w:cs="Times New Roman" w:eastAsia="Times New Roman"/>
          <w:b w:val="0"/>
          <w:i w:val="0"/>
          <w:color w:val="000000"/>
          <w:sz w:val="24"/>
        </w:rPr>
        <w:t>Pede deferimento.</w:t>
      </w:r>
    </w:p>
    <w:p>
      <w:pPr>
        <w:spacing w:line="360" w:lineRule="auto" w:after="280" w:before="0"/>
        <w:jc w:val="left"/>
      </w:pPr>
      <w:r>
        <w:rPr>
          <w:rFonts w:ascii="Times New Roman" w:hAnsi="Times New Roman" w:cs="Times New Roman" w:eastAsia="Times New Roman"/>
          <w:b w:val="0"/>
          <w:i w:val="0"/>
          <w:color w:val="000000"/>
          <w:sz w:val="24"/>
        </w:rPr>
        <w:t>Nampula, ____ de ______________ de 2026</w:t>
      </w:r>
    </w:p>
    <w:p>
      <w:pPr>
        <w:spacing w:line="360" w:lineRule="auto" w:after="280" w:before="0"/>
        <w:jc w:val="left"/>
      </w:pPr>
      <w:r>
        <w:rPr>
          <w:rFonts w:ascii="Times New Roman" w:hAnsi="Times New Roman" w:cs="Times New Roman" w:eastAsia="Times New Roman"/>
          <w:b w:val="0"/>
          <w:i w:val="0"/>
          <w:color w:val="000000"/>
          <w:sz w:val="24"/>
        </w:rPr>
        <w:t>O requerente: ____________________________</w:t>
      </w:r>
    </w:p>
    <w:sectPr w:rsidR="00FC693F" w:rsidRPr="0006063C" w:rsidSect="00034616">
      <w:footerReference w:type="first" r:id="rId10"/>
      <w:footerReference w:type="default" r:id="rId11"/>
      <w:pgSz w:w="11906" w:h="16838"/>
      <w:pgMar w:top="1701" w:right="1417" w:bottom="1701"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before="0"/>
      <w:jc w:val="right"/>
    </w:pPr>
    <w:r/>
    <w:r>
      <w:rPr>
        <w:rFonts w:ascii="Times New Roman" w:hAnsi="Times New Roman" w:cs="Times New Roman" w:eastAsia="Times New Roman"/>
        <w:b w:val="0"/>
        <w:i w:val="0"/>
        <w:color w:val="00000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val="0"/>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val="0"/>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