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Times New Roman" w:hAnsi="Times New Roman"/>
          <w:b/>
          <w:i w:val="0"/>
          <w:color w:val="000000"/>
          <w:sz w:val="24"/>
        </w:rPr>
        <w:t>UNIVERSIDADE LÚRIO</w:t>
      </w:r>
    </w:p>
    <w:p>
      <w:pPr>
        <w:spacing w:after="40" w:line="276" w:lineRule="auto"/>
        <w:jc w:val="center"/>
      </w:pPr>
      <w:r>
        <w:rPr>
          <w:rFonts w:ascii="Times New Roman" w:hAnsi="Times New Roman"/>
          <w:b/>
          <w:i w:val="0"/>
          <w:color w:val="000000"/>
          <w:sz w:val="24"/>
        </w:rPr>
        <w:t>FACULDADE DE CIÊNCIAS DE SAÚDE</w:t>
      </w:r>
    </w:p>
    <w:p>
      <w:pPr>
        <w:spacing w:after="40" w:line="276" w:lineRule="auto"/>
        <w:jc w:val="center"/>
      </w:pPr>
      <w:r>
        <w:rPr>
          <w:rFonts w:ascii="Times New Roman" w:hAnsi="Times New Roman"/>
          <w:b/>
          <w:i w:val="0"/>
          <w:color w:val="000000"/>
          <w:sz w:val="24"/>
        </w:rPr>
        <w:t>CURSO DE LICENCIATURA EM FARMÁCIA</w:t>
      </w:r>
    </w:p>
    <w:p>
      <w:pPr>
        <w:spacing w:after="0"/>
      </w:pPr>
    </w:p>
    <w:p>
      <w:pPr>
        <w:spacing w:after="0"/>
      </w:pPr>
    </w:p>
    <w:p>
      <w:pPr>
        <w:spacing w:after="0"/>
      </w:pPr>
    </w:p>
    <w:p>
      <w:pPr>
        <w:spacing w:after="0"/>
      </w:pPr>
    </w:p>
    <w:p>
      <w:pPr>
        <w:spacing w:after="0"/>
      </w:pPr>
    </w:p>
    <w:p>
      <w:pPr>
        <w:spacing w:after="200" w:line="276" w:lineRule="auto"/>
        <w:jc w:val="center"/>
      </w:pPr>
      <w:r>
        <w:rPr>
          <w:rFonts w:ascii="Times New Roman" w:hAnsi="Times New Roman"/>
          <w:b w:val="0"/>
          <w:i w:val="0"/>
          <w:color w:val="000000"/>
          <w:sz w:val="24"/>
        </w:rPr>
        <w:t>Protocolo de Investigação</w:t>
      </w:r>
    </w:p>
    <w:p>
      <w:pPr>
        <w:spacing w:after="40" w:line="360" w:lineRule="auto"/>
        <w:jc w:val="center"/>
      </w:pPr>
      <w:r>
        <w:rPr>
          <w:rFonts w:ascii="Times New Roman" w:hAnsi="Times New Roman"/>
          <w:b/>
          <w:i w:val="0"/>
          <w:color w:val="000000"/>
          <w:sz w:val="24"/>
        </w:rPr>
        <w:t>USO CONCOMITANTE DE PLANTAS MEDICINAIS E POTENCIAL DE INTERACÇÃO COM ANTI-HIPERTENSORES EM DOENTES INTERNADOS NOS DEPARTAMENTOS DE MEDICINA I E II, HOSPITAL CENTRAL DE NAMPULA, 2027</w:t>
      </w:r>
    </w:p>
    <w:p>
      <w:pPr>
        <w:spacing w:after="0"/>
      </w:pPr>
    </w:p>
    <w:p>
      <w:pPr>
        <w:spacing w:after="0"/>
      </w:pPr>
    </w:p>
    <w:p>
      <w:pPr>
        <w:spacing w:after="0"/>
      </w:pPr>
    </w:p>
    <w:p>
      <w:pPr>
        <w:spacing w:after="0"/>
      </w:pPr>
    </w:p>
    <w:p>
      <w:pPr>
        <w:spacing w:after="0"/>
      </w:pPr>
    </w:p>
    <w:p>
      <w:pPr>
        <w:spacing w:after="40" w:line="276" w:lineRule="auto"/>
        <w:jc w:val="center"/>
      </w:pPr>
      <w:r>
        <w:rPr>
          <w:rFonts w:ascii="Times New Roman" w:hAnsi="Times New Roman"/>
          <w:b w:val="0"/>
          <w:i w:val="0"/>
          <w:color w:val="000000"/>
          <w:sz w:val="24"/>
        </w:rPr>
        <w:t>[Nome do(a) estudante]</w:t>
      </w:r>
    </w:p>
    <w:p>
      <w:pPr>
        <w:spacing w:after="0"/>
      </w:pPr>
    </w:p>
    <w:p>
      <w:pPr>
        <w:spacing w:after="0"/>
      </w:pPr>
    </w:p>
    <w:p>
      <w:pPr>
        <w:spacing w:after="0"/>
      </w:pPr>
    </w:p>
    <w:p>
      <w:pPr>
        <w:spacing w:after="0"/>
      </w:pPr>
    </w:p>
    <w:p>
      <w:pPr>
        <w:spacing w:after="0"/>
      </w:pPr>
    </w:p>
    <w:p>
      <w:pPr>
        <w:spacing w:after="0"/>
      </w:pPr>
    </w:p>
    <w:p>
      <w:pPr>
        <w:spacing w:after="0"/>
      </w:pPr>
    </w:p>
    <w:p>
      <w:pPr>
        <w:spacing w:after="0"/>
      </w:pPr>
    </w:p>
    <w:p>
      <w:pPr>
        <w:spacing w:after="40" w:line="276" w:lineRule="auto"/>
        <w:jc w:val="center"/>
      </w:pPr>
      <w:r>
        <w:rPr>
          <w:rFonts w:ascii="Times New Roman" w:hAnsi="Times New Roman"/>
          <w:b/>
          <w:i w:val="0"/>
          <w:color w:val="000000"/>
          <w:sz w:val="24"/>
        </w:rPr>
        <w:t>Nampula</w:t>
      </w:r>
    </w:p>
    <w:p>
      <w:pPr>
        <w:spacing w:after="40" w:line="276" w:lineRule="auto"/>
        <w:jc w:val="center"/>
      </w:pPr>
      <w:r>
        <w:rPr>
          <w:rFonts w:ascii="Times New Roman" w:hAnsi="Times New Roman"/>
          <w:b/>
          <w:i w:val="0"/>
          <w:color w:val="000000"/>
          <w:sz w:val="24"/>
        </w:rPr>
        <w:t>2026</w:t>
      </w:r>
    </w:p>
    <w:p>
      <w:pPr>
        <w:pageBreakBefore/>
        <w:spacing w:after="40" w:line="276" w:lineRule="auto"/>
        <w:jc w:val="center"/>
      </w:pPr>
      <w:r>
        <w:rPr>
          <w:rFonts w:ascii="Times New Roman" w:hAnsi="Times New Roman"/>
          <w:b w:val="0"/>
          <w:i w:val="0"/>
          <w:color w:val="000000"/>
          <w:sz w:val="24"/>
        </w:rPr>
        <w:t>[Nome do(a) estudante]</w:t>
      </w:r>
    </w:p>
    <w:p>
      <w:pPr>
        <w:spacing w:after="0"/>
      </w:pPr>
    </w:p>
    <w:p>
      <w:pPr>
        <w:spacing w:after="0"/>
      </w:pPr>
    </w:p>
    <w:p>
      <w:pPr>
        <w:spacing w:after="0"/>
      </w:pPr>
    </w:p>
    <w:p>
      <w:pPr>
        <w:spacing w:after="0"/>
      </w:pPr>
    </w:p>
    <w:p>
      <w:pPr>
        <w:spacing w:after="0"/>
      </w:pPr>
    </w:p>
    <w:p>
      <w:pPr>
        <w:spacing w:after="40" w:line="360" w:lineRule="auto"/>
        <w:jc w:val="center"/>
      </w:pPr>
      <w:r>
        <w:rPr>
          <w:rFonts w:ascii="Times New Roman" w:hAnsi="Times New Roman"/>
          <w:b/>
          <w:i w:val="0"/>
          <w:color w:val="000000"/>
          <w:sz w:val="24"/>
        </w:rPr>
        <w:t>USO CONCOMITANTE DE PLANTAS MEDICINAIS E POTENCIAL DE INTERACÇÃO COM ANTI-HIPERTENSORES EM DOENTES INTERNADOS NOS DEPARTAMENTOS DE MEDICINA I E II, HOSPITAL CENTRAL DE NAMPULA, 2027</w:t>
      </w:r>
    </w:p>
    <w:p>
      <w:pPr>
        <w:spacing w:after="0"/>
      </w:pPr>
    </w:p>
    <w:p>
      <w:pPr>
        <w:spacing w:after="0"/>
      </w:pPr>
    </w:p>
    <w:p>
      <w:pPr>
        <w:spacing w:after="0"/>
      </w:pPr>
    </w:p>
    <w:p>
      <w:pPr>
        <w:spacing w:line="240" w:lineRule="auto" w:after="120"/>
        <w:ind w:left="4535"/>
        <w:jc w:val="both"/>
      </w:pPr>
      <w:r>
        <w:rPr>
          <w:rFonts w:ascii="Times New Roman" w:hAnsi="Times New Roman"/>
          <w:b w:val="0"/>
          <w:i w:val="0"/>
          <w:color w:val="000000"/>
          <w:sz w:val="24"/>
        </w:rPr>
        <w:t>Protocolo de investigação apresentado à Faculdade de Ciências de Saúde da Universidade Lúrio, como parte dos requisitos para a elaboração do Trabalho de Conclusão de Curso conducente à obtenção do grau de licenciado em Farmácia.</w:t>
      </w:r>
    </w:p>
    <w:p>
      <w:pPr>
        <w:spacing w:after="0"/>
      </w:pPr>
    </w:p>
    <w:p>
      <w:pPr>
        <w:spacing w:line="240" w:lineRule="auto" w:after="120"/>
        <w:ind w:left="4535"/>
        <w:jc w:val="both"/>
      </w:pPr>
      <w:r>
        <w:rPr>
          <w:rFonts w:ascii="Times New Roman" w:hAnsi="Times New Roman"/>
          <w:b w:val="0"/>
          <w:i w:val="0"/>
          <w:color w:val="000000"/>
          <w:sz w:val="24"/>
        </w:rPr>
        <w:t>Orientador(a): [Nome e grau académico do(a) orientador(a)]</w:t>
      </w:r>
    </w:p>
    <w:p>
      <w:pPr>
        <w:spacing w:after="0"/>
      </w:pPr>
    </w:p>
    <w:p>
      <w:pPr>
        <w:spacing w:after="0"/>
      </w:pPr>
    </w:p>
    <w:p>
      <w:pPr>
        <w:spacing w:after="0"/>
      </w:pPr>
    </w:p>
    <w:p>
      <w:pPr>
        <w:spacing w:after="0"/>
      </w:pPr>
    </w:p>
    <w:p>
      <w:pPr>
        <w:spacing w:after="0"/>
      </w:pPr>
    </w:p>
    <w:p>
      <w:pPr>
        <w:spacing w:after="0"/>
      </w:pPr>
    </w:p>
    <w:p>
      <w:pPr>
        <w:spacing w:after="40" w:line="276" w:lineRule="auto"/>
        <w:jc w:val="center"/>
      </w:pPr>
      <w:r>
        <w:rPr>
          <w:rFonts w:ascii="Times New Roman" w:hAnsi="Times New Roman"/>
          <w:b/>
          <w:i w:val="0"/>
          <w:color w:val="000000"/>
          <w:sz w:val="24"/>
        </w:rPr>
        <w:t>Nampula</w:t>
      </w:r>
    </w:p>
    <w:p>
      <w:pPr>
        <w:spacing w:after="40" w:line="276" w:lineRule="auto"/>
        <w:jc w:val="center"/>
      </w:pPr>
      <w:r>
        <w:rPr>
          <w:rFonts w:ascii="Times New Roman" w:hAnsi="Times New Roman"/>
          <w:b/>
          <w:i w:val="0"/>
          <w:color w:val="000000"/>
          <w:sz w:val="24"/>
        </w:rPr>
        <w:t>2026</w:t>
      </w:r>
    </w:p>
    <w:p>
      <w:pPr>
        <w:pStyle w:val="Heading1"/>
        <w:pageBreakBefore/>
      </w:pPr>
      <w:r>
        <w:rPr>
          <w:rFonts w:ascii="Times New Roman" w:hAnsi="Times New Roman"/>
          <w:b/>
          <w:i w:val="0"/>
          <w:color w:val="000000"/>
          <w:sz w:val="26"/>
        </w:rPr>
        <w:t>DECLARAÇÃO DO ORIENTADOR</w:t>
      </w:r>
    </w:p>
    <w:p>
      <w:pPr>
        <w:jc w:val="both"/>
      </w:pPr>
      <w:r>
        <w:rPr>
          <w:rFonts w:ascii="Times New Roman" w:hAnsi="Times New Roman"/>
          <w:b w:val="0"/>
          <w:i w:val="0"/>
          <w:color w:val="000000"/>
          <w:sz w:val="24"/>
        </w:rPr>
        <w:t>Eu, [Nome e grau académico do(a) orientador(a)], docente da Faculdade de Ciências de Saúde da Universidade Lúrio, declaro que o protocolo de investigação intitulado «Uso concomitante de plantas medicinais e potencial de interacção com anti-hipertensores em doentes internados nos Departamentos de Medicina I e II, Hospital Central de Nampula, 2027», da autoria de [Nome do(a) estudante], estudante do curso de licenciatura em Farmácia, foi elaborado sob a minha orientação e reúne as condições científicas e metodológicas para ser submetido à apreciação da Comissão Científica e do comité de bioética competente.</w:t>
      </w:r>
    </w:p>
    <w:p>
      <w:pPr>
        <w:spacing w:after="0"/>
      </w:pPr>
    </w:p>
    <w:p>
      <w:pPr>
        <w:jc w:val="left"/>
      </w:pPr>
      <w:r>
        <w:rPr>
          <w:rFonts w:ascii="Times New Roman" w:hAnsi="Times New Roman"/>
          <w:b w:val="0"/>
          <w:i w:val="0"/>
          <w:color w:val="000000"/>
          <w:sz w:val="24"/>
        </w:rPr>
        <w:t>Nampula, ____ de ________________ de 2026</w:t>
      </w:r>
    </w:p>
    <w:p>
      <w:pPr>
        <w:spacing w:after="0"/>
      </w:pPr>
    </w:p>
    <w:p>
      <w:pPr>
        <w:spacing w:after="0"/>
      </w:pPr>
    </w:p>
    <w:p>
      <w:pPr>
        <w:spacing w:after="40" w:line="276" w:lineRule="auto"/>
        <w:jc w:val="center"/>
      </w:pPr>
      <w:r>
        <w:rPr>
          <w:rFonts w:ascii="Times New Roman" w:hAnsi="Times New Roman"/>
          <w:b w:val="0"/>
          <w:i w:val="0"/>
          <w:color w:val="000000"/>
          <w:sz w:val="24"/>
        </w:rPr>
        <w:t>O(A) Orientador(a)</w:t>
      </w:r>
    </w:p>
    <w:p>
      <w:pPr>
        <w:spacing w:after="40" w:line="276" w:lineRule="auto"/>
        <w:jc w:val="center"/>
      </w:pPr>
    </w:p>
    <w:p>
      <w:pPr>
        <w:spacing w:after="40" w:line="276" w:lineRule="auto"/>
        <w:jc w:val="center"/>
      </w:pPr>
      <w:r>
        <w:rPr>
          <w:rFonts w:ascii="Times New Roman" w:hAnsi="Times New Roman"/>
          <w:b w:val="0"/>
          <w:i w:val="0"/>
          <w:color w:val="000000"/>
          <w:sz w:val="24"/>
        </w:rPr>
        <w:t>_______________________________________</w:t>
      </w:r>
    </w:p>
    <w:p>
      <w:pPr>
        <w:spacing w:after="40" w:line="276" w:lineRule="auto"/>
        <w:jc w:val="center"/>
      </w:pPr>
      <w:r>
        <w:rPr>
          <w:rFonts w:ascii="Times New Roman" w:hAnsi="Times New Roman"/>
          <w:b w:val="0"/>
          <w:i w:val="0"/>
          <w:color w:val="000000"/>
          <w:sz w:val="24"/>
        </w:rPr>
        <w:t>([Nome e grau académico do(a) orientador(a)])</w:t>
      </w:r>
    </w:p>
    <w:p>
      <w:pPr>
        <w:pStyle w:val="Heading1"/>
        <w:pageBreakBefore/>
      </w:pPr>
      <w:r>
        <w:rPr>
          <w:rFonts w:ascii="Times New Roman" w:hAnsi="Times New Roman"/>
          <w:b/>
          <w:i w:val="0"/>
          <w:color w:val="000000"/>
          <w:sz w:val="26"/>
        </w:rPr>
        <w:t>RESUMO</w:t>
      </w:r>
    </w:p>
    <w:p>
      <w:pPr>
        <w:jc w:val="both"/>
      </w:pPr>
      <w:r>
        <w:rPr>
          <w:rFonts w:ascii="Times New Roman" w:hAnsi="Times New Roman"/>
          <w:b w:val="0"/>
          <w:i w:val="0"/>
          <w:color w:val="000000"/>
          <w:sz w:val="24"/>
        </w:rPr>
        <w:t>O uso de plantas medicinais em simultâneo com medicamentos convencionais é frequente entre doentes hipertensos da África subsariana, raramente é comunicado aos profissionais de saúde e associa-se a maior gravidade da hipertensão e a mais complicações, sobretudo renais. Em Moçambique, a hipertensão é uma das principais causas de internamento na medicina interna, mas não existem dados sobre o uso concomitante de plantas entre doentes hipertensos internados, nem sobre o potencial de interacção com os anti-hipertensores prescritos. O estudo avalia esse uso concomitante, a sua comunicação aos profissionais de saúde, o potencial de interacção das combinações e a associação entre o uso e a gravidade da apresentação clínica, em adultos internados por hipertensão ou por uma complicação hipertensiva nos departamentos de medicina interna do Hospital Central de Nampula. É um estudo transversal, descritivo e analítico, de base hospitalar, com componente etnofarmacológica, recolha de Março a Junho de 2027, entrevista consecutiva dos doentes elegíveis, cerca de 205 adultos, e questionário adaptado de instrumentos internacionais sobre medicina complementar, validado por painel de peritos, traduzido para emakhuwa e pré-testado. As plantas mais citadas serão identificadas por botânicos a partir de exemplares de herbário ou fotografias, e o potencial de interacção de cada combinação será classificado por dois avaliadores independentes com base em monografias, estudos farmacocinéticos e farmacodinâmicos e literatura revista por pares. A análise incluirá proporções com intervalos de confiança a 95%, o coeficiente kappa de Cohen e a regressão de Poisson com variância robusta. Espera-se estimar a frequência do uso concomitante, descrever as espécies e preparações usadas, quantificar a não revelação, identificar combinações com potencial de interacção descrito e verificar se o uso é mais frequente nos internados por complicação hipertensiva, o que fundamenta a inclusão da pergunta sobre medicina tradicional na anamnese farmacêutica hospitalar.</w:t>
      </w:r>
    </w:p>
    <w:p>
      <w:pPr>
        <w:jc w:val="both"/>
      </w:pPr>
      <w:r>
        <w:rPr>
          <w:rFonts w:ascii="Times New Roman" w:hAnsi="Times New Roman"/>
          <w:b w:val="0"/>
          <w:i w:val="0"/>
          <w:color w:val="000000"/>
          <w:sz w:val="24"/>
        </w:rPr>
        <w:t>Palavras-chave: doentes internados, hipertensão arterial, interacções entre plantas e medicamentos, Moçambique, plantas medicinais.</w:t>
      </w:r>
    </w:p>
    <w:p>
      <w:pPr>
        <w:pStyle w:val="Heading1"/>
        <w:pageBreakBefore/>
      </w:pPr>
      <w:r>
        <w:rPr>
          <w:rFonts w:ascii="Times New Roman" w:hAnsi="Times New Roman"/>
          <w:b/>
          <w:i w:val="0"/>
          <w:color w:val="000000"/>
          <w:sz w:val="26"/>
        </w:rPr>
        <w:t>ABSTRACT</w:t>
      </w:r>
    </w:p>
    <w:p>
      <w:pPr>
        <w:jc w:val="both"/>
      </w:pPr>
      <w:r>
        <w:rPr>
          <w:rFonts w:ascii="Times New Roman" w:hAnsi="Times New Roman"/>
          <w:b w:val="0"/>
          <w:i w:val="0"/>
          <w:color w:val="000000"/>
          <w:sz w:val="24"/>
        </w:rPr>
        <w:t>The use of medicinal plants together with conventional medicines is common among hypertensive patients in sub-Saharan Africa, is seldom disclosed to health professionals and is associated with greater severity of hypertension and more complications, particularly renal. In Mozambique, hypertension is one of the leading causes of admission to internal medicine wards, but there are no data on the concomitant use of plants among hospitalized hypertensive patients, nor on the interaction potential with the prescribed antihypertensive drugs. The study assesses this concomitant use, its disclosure to health professionals, the interaction potential of the combinations and the association between use and the severity of the clinical presentation, among adults admitted for hypertension or a hypertensive complication to the internal medicine departments of Hospital Central de Nampula. It is a cross-sectional, descriptive and analytical, hospital-based study with an ethnopharmacological component, with data collection from March to June 2027, consecutive interviews of eligible patients, about 205 adults, and a questionnaire adapted from international instruments on complementary medicine, validated by an expert panel, translated into Emakhuwa and pretested. The most frequently cited plants will be identified by botanists from herbarium specimens or photographs, and the interaction potential of each combination will be classified by two independent assessors based on monographs, pharmacokinetic and pharmacodynamic studies and peer-reviewed literature. The analysis will include proportions with 95% confidence intervals, Cohen's kappa coefficient and Poisson regression with robust variance. The study is expected to estimate the frequency of concomitant use, describe the species and preparations used, quantify non-disclosure, identify combinations with a described interaction potential and determine whether use is more frequent among patients admitted for a hypertensive complication, which supports the systematic inclusion of a question on traditional medicine in the hospital pharmaceutical medication history.</w:t>
      </w:r>
    </w:p>
    <w:p>
      <w:pPr>
        <w:jc w:val="both"/>
      </w:pPr>
      <w:r>
        <w:rPr>
          <w:rFonts w:ascii="Times New Roman" w:hAnsi="Times New Roman"/>
          <w:b w:val="0"/>
          <w:i w:val="0"/>
          <w:color w:val="000000"/>
          <w:sz w:val="24"/>
        </w:rPr>
        <w:t>Keywords: herb-drug interactions, hospitalized patients, hypertension, medicinal plants, Mozambique.</w:t>
      </w:r>
    </w:p>
    <w:p>
      <w:pPr>
        <w:pStyle w:val="Heading1"/>
        <w:pageBreakBefore/>
      </w:pPr>
      <w:r>
        <w:rPr>
          <w:rFonts w:ascii="Times New Roman" w:hAnsi="Times New Roman"/>
          <w:b/>
          <w:i w:val="0"/>
          <w:color w:val="000000"/>
          <w:sz w:val="26"/>
        </w:rPr>
        <w:t>LISTA DE ABREVIATURAS E SIGLAS</w:t>
      </w:r>
    </w:p>
    <w:p>
      <w:pPr>
        <w:tabs>
          <w:tab w:pos="1701" w:val="left"/>
        </w:tabs>
        <w:spacing w:after="40" w:line="276" w:lineRule="auto"/>
        <w:ind w:left="1701" w:hanging="1701"/>
        <w:jc w:val="left"/>
      </w:pPr>
      <w:r>
        <w:rPr>
          <w:rFonts w:ascii="Times New Roman" w:hAnsi="Times New Roman"/>
          <w:b w:val="0"/>
          <w:i w:val="0"/>
          <w:color w:val="000000"/>
          <w:sz w:val="24"/>
        </w:rPr>
        <w:t>ANARME</w:t>
        <w:tab/>
        <w:t>Autoridade Nacional Reguladora de Medicamento, Instituto Público</w:t>
      </w:r>
    </w:p>
    <w:p>
      <w:pPr>
        <w:tabs>
          <w:tab w:pos="1701" w:val="left"/>
        </w:tabs>
        <w:spacing w:after="40" w:line="276" w:lineRule="auto"/>
        <w:ind w:left="1701" w:hanging="1701"/>
        <w:jc w:val="left"/>
      </w:pPr>
      <w:r>
        <w:rPr>
          <w:rFonts w:ascii="Times New Roman" w:hAnsi="Times New Roman"/>
          <w:b w:val="0"/>
          <w:i w:val="0"/>
          <w:color w:val="000000"/>
          <w:sz w:val="24"/>
        </w:rPr>
        <w:t>AVC</w:t>
        <w:tab/>
        <w:t>acidente vascular cerebral</w:t>
      </w:r>
    </w:p>
    <w:p>
      <w:pPr>
        <w:tabs>
          <w:tab w:pos="1701" w:val="left"/>
        </w:tabs>
        <w:spacing w:after="40" w:line="276" w:lineRule="auto"/>
        <w:ind w:left="1701" w:hanging="1701"/>
        <w:jc w:val="left"/>
      </w:pPr>
      <w:r>
        <w:rPr>
          <w:rFonts w:ascii="Times New Roman" w:hAnsi="Times New Roman"/>
          <w:b w:val="0"/>
          <w:i w:val="0"/>
          <w:color w:val="000000"/>
          <w:sz w:val="24"/>
        </w:rPr>
        <w:t>CIBS-UniLúrio</w:t>
        <w:tab/>
        <w:t>Comité Institucional de Bioética para a Saúde da Universidade Lúrio</w:t>
      </w:r>
    </w:p>
    <w:p>
      <w:pPr>
        <w:tabs>
          <w:tab w:pos="1701" w:val="left"/>
        </w:tabs>
        <w:spacing w:after="40" w:line="276" w:lineRule="auto"/>
        <w:ind w:left="1701" w:hanging="1701"/>
        <w:jc w:val="left"/>
      </w:pPr>
      <w:r>
        <w:rPr>
          <w:rFonts w:ascii="Times New Roman" w:hAnsi="Times New Roman"/>
          <w:b w:val="0"/>
          <w:i w:val="0"/>
          <w:color w:val="000000"/>
          <w:sz w:val="24"/>
        </w:rPr>
        <w:t>ConSEFS</w:t>
        <w:tab/>
        <w:t>Consensus Statement on Ethnopharmacological Field Studies (declaração de consenso sobre estudos etnofarmacológicos de campo)</w:t>
      </w:r>
    </w:p>
    <w:p>
      <w:pPr>
        <w:tabs>
          <w:tab w:pos="1701" w:val="left"/>
        </w:tabs>
        <w:spacing w:after="40" w:line="276" w:lineRule="auto"/>
        <w:ind w:left="1701" w:hanging="1701"/>
        <w:jc w:val="left"/>
      </w:pPr>
      <w:r>
        <w:rPr>
          <w:rFonts w:ascii="Times New Roman" w:hAnsi="Times New Roman"/>
          <w:b w:val="0"/>
          <w:i w:val="0"/>
          <w:color w:val="000000"/>
          <w:sz w:val="24"/>
        </w:rPr>
        <w:t>HCN</w:t>
        <w:tab/>
        <w:t>Hospital Central de Nampula</w:t>
      </w:r>
    </w:p>
    <w:p>
      <w:pPr>
        <w:tabs>
          <w:tab w:pos="1701" w:val="left"/>
        </w:tabs>
        <w:spacing w:after="40" w:line="276" w:lineRule="auto"/>
        <w:ind w:left="1701" w:hanging="1701"/>
        <w:jc w:val="left"/>
      </w:pPr>
      <w:r>
        <w:rPr>
          <w:rFonts w:ascii="Times New Roman" w:hAnsi="Times New Roman"/>
          <w:b w:val="0"/>
          <w:i w:val="0"/>
          <w:color w:val="000000"/>
          <w:sz w:val="24"/>
        </w:rPr>
        <w:t>HIV</w:t>
        <w:tab/>
        <w:t>vírus da imunodeficiência humana</w:t>
      </w:r>
    </w:p>
    <w:p>
      <w:pPr>
        <w:tabs>
          <w:tab w:pos="1701" w:val="left"/>
        </w:tabs>
        <w:spacing w:after="40" w:line="276" w:lineRule="auto"/>
        <w:ind w:left="1701" w:hanging="1701"/>
        <w:jc w:val="left"/>
      </w:pPr>
      <w:r>
        <w:rPr>
          <w:rFonts w:ascii="Times New Roman" w:hAnsi="Times New Roman"/>
          <w:b w:val="0"/>
          <w:i w:val="0"/>
          <w:color w:val="000000"/>
          <w:sz w:val="24"/>
        </w:rPr>
        <w:t>I-CAM-Q</w:t>
        <w:tab/>
        <w:t>International Complementary and Alternative Medicine Questionnaire (questionário internacional sobre o uso de medicina complementar e alternativa)</w:t>
      </w:r>
    </w:p>
    <w:p>
      <w:pPr>
        <w:tabs>
          <w:tab w:pos="1701" w:val="left"/>
        </w:tabs>
        <w:spacing w:after="40" w:line="276" w:lineRule="auto"/>
        <w:ind w:left="1701" w:hanging="1701"/>
        <w:jc w:val="left"/>
      </w:pPr>
      <w:r>
        <w:rPr>
          <w:rFonts w:ascii="Times New Roman" w:hAnsi="Times New Roman"/>
          <w:b w:val="0"/>
          <w:i w:val="0"/>
          <w:color w:val="000000"/>
          <w:sz w:val="24"/>
        </w:rPr>
        <w:t>IC95%</w:t>
        <w:tab/>
        <w:t>intervalo de confiança a 95%</w:t>
      </w:r>
    </w:p>
    <w:p>
      <w:pPr>
        <w:tabs>
          <w:tab w:pos="1701" w:val="left"/>
        </w:tabs>
        <w:spacing w:after="40" w:line="276" w:lineRule="auto"/>
        <w:ind w:left="1701" w:hanging="1701"/>
        <w:jc w:val="left"/>
      </w:pPr>
      <w:r>
        <w:rPr>
          <w:rFonts w:ascii="Times New Roman" w:hAnsi="Times New Roman"/>
          <w:b w:val="0"/>
          <w:i w:val="0"/>
          <w:color w:val="000000"/>
          <w:sz w:val="24"/>
        </w:rPr>
        <w:t>IECA</w:t>
        <w:tab/>
        <w:t>inibidor da enzima de conversão da angiotensina</w:t>
      </w:r>
    </w:p>
    <w:p>
      <w:pPr>
        <w:tabs>
          <w:tab w:pos="1701" w:val="left"/>
        </w:tabs>
        <w:spacing w:after="40" w:line="276" w:lineRule="auto"/>
        <w:ind w:left="1701" w:hanging="1701"/>
        <w:jc w:val="left"/>
      </w:pPr>
      <w:r>
        <w:rPr>
          <w:rFonts w:ascii="Times New Roman" w:hAnsi="Times New Roman"/>
          <w:b w:val="0"/>
          <w:i w:val="0"/>
          <w:color w:val="000000"/>
          <w:sz w:val="24"/>
        </w:rPr>
        <w:t>IMT</w:t>
        <w:tab/>
        <w:t>Instituto de Medicina Tradicional</w:t>
      </w:r>
    </w:p>
    <w:p>
      <w:pPr>
        <w:tabs>
          <w:tab w:pos="1701" w:val="left"/>
        </w:tabs>
        <w:spacing w:after="40" w:line="276" w:lineRule="auto"/>
        <w:ind w:left="1701" w:hanging="1701"/>
        <w:jc w:val="left"/>
      </w:pPr>
      <w:r>
        <w:rPr>
          <w:rFonts w:ascii="Times New Roman" w:hAnsi="Times New Roman"/>
          <w:b w:val="0"/>
          <w:i w:val="0"/>
          <w:color w:val="000000"/>
          <w:sz w:val="24"/>
        </w:rPr>
        <w:t>INS</w:t>
        <w:tab/>
        <w:t>Instituto Nacional de Saúde</w:t>
      </w:r>
    </w:p>
    <w:p>
      <w:pPr>
        <w:tabs>
          <w:tab w:pos="1701" w:val="left"/>
        </w:tabs>
        <w:spacing w:after="40" w:line="276" w:lineRule="auto"/>
        <w:ind w:left="1701" w:hanging="1701"/>
        <w:jc w:val="left"/>
      </w:pPr>
      <w:r>
        <w:rPr>
          <w:rFonts w:ascii="Times New Roman" w:hAnsi="Times New Roman"/>
          <w:b w:val="0"/>
          <w:i w:val="0"/>
          <w:color w:val="000000"/>
          <w:sz w:val="24"/>
        </w:rPr>
        <w:t>IVC</w:t>
        <w:tab/>
        <w:t>índice de validade de conteúdo</w:t>
      </w:r>
    </w:p>
    <w:p>
      <w:pPr>
        <w:tabs>
          <w:tab w:pos="1701" w:val="left"/>
        </w:tabs>
        <w:spacing w:after="40" w:line="276" w:lineRule="auto"/>
        <w:ind w:left="1701" w:hanging="1701"/>
        <w:jc w:val="left"/>
      </w:pPr>
      <w:r>
        <w:rPr>
          <w:rFonts w:ascii="Times New Roman" w:hAnsi="Times New Roman"/>
          <w:b w:val="0"/>
          <w:i w:val="0"/>
          <w:color w:val="000000"/>
          <w:sz w:val="24"/>
        </w:rPr>
        <w:t>MISAU</w:t>
        <w:tab/>
        <w:t>Ministério da Saúde</w:t>
      </w:r>
    </w:p>
    <w:p>
      <w:pPr>
        <w:tabs>
          <w:tab w:pos="1701" w:val="left"/>
        </w:tabs>
        <w:spacing w:after="40" w:line="276" w:lineRule="auto"/>
        <w:ind w:left="1701" w:hanging="1701"/>
        <w:jc w:val="left"/>
      </w:pPr>
      <w:r>
        <w:rPr>
          <w:rFonts w:ascii="Times New Roman" w:hAnsi="Times New Roman"/>
          <w:b w:val="0"/>
          <w:i w:val="0"/>
          <w:color w:val="000000"/>
          <w:sz w:val="24"/>
        </w:rPr>
        <w:t>OMS</w:t>
        <w:tab/>
        <w:t>Organização Mundial da Saúde</w:t>
      </w:r>
    </w:p>
    <w:p>
      <w:pPr>
        <w:tabs>
          <w:tab w:pos="1701" w:val="left"/>
        </w:tabs>
        <w:spacing w:after="40" w:line="276" w:lineRule="auto"/>
        <w:ind w:left="1701" w:hanging="1701"/>
        <w:jc w:val="left"/>
      </w:pPr>
      <w:r>
        <w:rPr>
          <w:rFonts w:ascii="Times New Roman" w:hAnsi="Times New Roman"/>
          <w:b w:val="0"/>
          <w:i w:val="0"/>
          <w:color w:val="000000"/>
          <w:sz w:val="24"/>
        </w:rPr>
        <w:t>OR</w:t>
        <w:tab/>
        <w:t>odds ratio (razão de possibilidades)</w:t>
      </w:r>
    </w:p>
    <w:p>
      <w:pPr>
        <w:tabs>
          <w:tab w:pos="1701" w:val="left"/>
        </w:tabs>
        <w:spacing w:after="40" w:line="276" w:lineRule="auto"/>
        <w:ind w:left="1701" w:hanging="1701"/>
        <w:jc w:val="left"/>
      </w:pPr>
      <w:r>
        <w:rPr>
          <w:rFonts w:ascii="Times New Roman" w:hAnsi="Times New Roman"/>
          <w:b w:val="0"/>
          <w:i w:val="0"/>
          <w:color w:val="000000"/>
          <w:sz w:val="24"/>
        </w:rPr>
        <w:t>RP</w:t>
        <w:tab/>
        <w:t>razão de prevalências</w:t>
      </w:r>
    </w:p>
    <w:p>
      <w:pPr>
        <w:tabs>
          <w:tab w:pos="1701" w:val="left"/>
        </w:tabs>
        <w:spacing w:after="40" w:line="276" w:lineRule="auto"/>
        <w:ind w:left="1701" w:hanging="1701"/>
        <w:jc w:val="left"/>
      </w:pPr>
      <w:r>
        <w:rPr>
          <w:rFonts w:ascii="Times New Roman" w:hAnsi="Times New Roman"/>
          <w:b w:val="0"/>
          <w:i w:val="0"/>
          <w:color w:val="000000"/>
          <w:sz w:val="24"/>
        </w:rPr>
        <w:t>RPa</w:t>
        <w:tab/>
        <w:t>razão de prevalências ajustada</w:t>
      </w:r>
    </w:p>
    <w:p>
      <w:pPr>
        <w:tabs>
          <w:tab w:pos="1701" w:val="left"/>
        </w:tabs>
        <w:spacing w:after="40" w:line="276" w:lineRule="auto"/>
        <w:ind w:left="1701" w:hanging="1701"/>
        <w:jc w:val="left"/>
      </w:pPr>
      <w:r>
        <w:rPr>
          <w:rFonts w:ascii="Times New Roman" w:hAnsi="Times New Roman"/>
          <w:b w:val="0"/>
          <w:i w:val="0"/>
          <w:color w:val="000000"/>
          <w:sz w:val="24"/>
        </w:rPr>
        <w:t>SPSS</w:t>
        <w:tab/>
        <w:t>Statistical Package for the Social Sciences</w:t>
      </w:r>
    </w:p>
    <w:p>
      <w:pPr>
        <w:tabs>
          <w:tab w:pos="1701" w:val="left"/>
        </w:tabs>
        <w:spacing w:after="40" w:line="276" w:lineRule="auto"/>
        <w:ind w:left="1701" w:hanging="1701"/>
        <w:jc w:val="left"/>
      </w:pPr>
      <w:r>
        <w:rPr>
          <w:rFonts w:ascii="Times New Roman" w:hAnsi="Times New Roman"/>
          <w:b w:val="0"/>
          <w:i w:val="0"/>
          <w:color w:val="000000"/>
          <w:sz w:val="24"/>
        </w:rPr>
        <w:t>STROBE</w:t>
        <w:tab/>
        <w:t>Strengthening the Reporting of Observational Studies in Epidemiology</w:t>
      </w:r>
    </w:p>
    <w:p>
      <w:pPr>
        <w:keepNext/>
        <w:pageBreakBefore/>
        <w:spacing w:before="240" w:after="120"/>
        <w:jc w:val="left"/>
      </w:pPr>
      <w:r>
        <w:rPr>
          <w:rFonts w:ascii="Times New Roman" w:hAnsi="Times New Roman"/>
          <w:b/>
          <w:i w:val="0"/>
          <w:color w:val="000000"/>
          <w:sz w:val="26"/>
        </w:rPr>
        <w:t>ÍNDICE</w:t>
      </w:r>
    </w:p>
    <w:p>
      <w:r>
        <w:fldChar w:fldCharType="begin"/>
        <w:instrText xml:space="preserve">TOC \o "1-3" \h \z \u</w:instrText>
        <w:fldChar w:fldCharType="separate"/>
      </w:r>
      <w:r>
        <w:rPr>
          <w:rFonts w:ascii="Times New Roman" w:hAnsi="Times New Roman"/>
          <w:sz w:val="24"/>
        </w:rPr>
        <w:t>Índice por actualizar: no Word, clicar sobre esta área e premir F9 (Actualizar o índice inteiro).</w:t>
      </w:r>
      <w:r>
        <w:fldChar w:fldCharType="end"/>
      </w:r>
    </w:p>
    <w:p>
      <w:pPr>
        <w:pStyle w:val="Heading1"/>
        <w:pageBreakBefore/>
      </w:pPr>
      <w:r>
        <w:rPr>
          <w:rFonts w:ascii="Times New Roman" w:hAnsi="Times New Roman"/>
          <w:b/>
          <w:i w:val="0"/>
          <w:color w:val="000000"/>
          <w:sz w:val="26"/>
        </w:rPr>
        <w:t>1. INTRODUÇÃO E CONTEXTUALIZAÇÃO</w:t>
      </w:r>
    </w:p>
    <w:p>
      <w:pPr>
        <w:jc w:val="both"/>
      </w:pPr>
      <w:r>
        <w:rPr>
          <w:rFonts w:ascii="Times New Roman" w:hAnsi="Times New Roman"/>
          <w:b w:val="0"/>
          <w:i w:val="0"/>
          <w:color w:val="000000"/>
          <w:sz w:val="24"/>
        </w:rPr>
        <w:t>A medicina tradicional continua a ser, em grande parte do mundo, uma fonte de cuidados de primeira linha e um complemento dos serviços de saúde convencionais. A estratégia mundial da Organização Mundial da Saúde (OMS) para a medicina tradicional no período de 2025 a 2034 pede uma oferta segura e eficaz, regulada e integrada nos sistemas de saúde, e inclui entre as acções a formação dos profissionais de saúde sobre as potenciais interacções com os tratamentos biomédicos (1). Na hipertensão arterial, a doença crónica não transmissível mais frequente, a análise conjunta de 71 inquéritos nacionais de países de baixo e médio rendimento, com 309.745 pessoas, mostrou que 8,1% das pessoas com hipertensão diagnosticada recorriam à medicina tradicional para tratar a doença (2).</w:t>
      </w:r>
    </w:p>
    <w:p>
      <w:pPr>
        <w:jc w:val="both"/>
      </w:pPr>
      <w:r>
        <w:rPr>
          <w:rFonts w:ascii="Times New Roman" w:hAnsi="Times New Roman"/>
          <w:b w:val="0"/>
          <w:i w:val="0"/>
          <w:color w:val="000000"/>
          <w:sz w:val="24"/>
        </w:rPr>
        <w:t>A coexistência dos dois sistemas terapêuticos só é segura quando o profissional de saúde sabe o que o doente toma, e o risco é maior quando o doente já está gravemente doente. Uma meta-análise de estudos publicados entre 2003 e 2016 estimou que apenas 33% dos utilizadores de produtos de origem biológica, como as plantas, revelavam esse uso ao médico (intervalo de confiança a 95% (IC95%): 24% a 43%), e identificou a falta de pergunta por parte do profissional entre as razões para o silêncio (3). As consequências clínicas não são teóricas: uma revisão de relatos de reacções adversas atribuídas a interacções entre plantas e medicamentos reuniu 49 casos clínicos, com predomínio de doença cardiovascular (4).</w:t>
      </w:r>
    </w:p>
    <w:p>
      <w:pPr>
        <w:jc w:val="both"/>
      </w:pPr>
      <w:r>
        <w:rPr>
          <w:rFonts w:ascii="Times New Roman" w:hAnsi="Times New Roman"/>
          <w:b w:val="0"/>
          <w:i w:val="0"/>
          <w:color w:val="000000"/>
          <w:sz w:val="24"/>
        </w:rPr>
        <w:t>Na África subsariana, entre 2.128 doentes hipertensos seguidos em serviços de cardiologia de 12 países, incluindo Moçambique, 24% declararam usar medicina tradicional, com variação entre 10% no Congo e 48% na Guiné; o uso associou-se a maior probabilidade de hipertensão grave (odds ratio (OR) 1,34) e de complicações (OR 1,27), sobretudo renais (OR 1,57) (5). Obtido em consulta externa de cardiologia, este achado sugere que o uso concomitante pode ser ainda mais relevante nos doentes já internados por uma complicação, o que fundamenta o desenho do presente estudo: num hospital da Tanzânia, entre 213 adultos internados por doença relacionada com hipertensão, 24,4% tinham usado plantas no mês anterior e 22,1% em simultâneo com os anti-hipertensores prescritos (6).</w:t>
      </w:r>
    </w:p>
    <w:p>
      <w:pPr>
        <w:jc w:val="both"/>
      </w:pPr>
      <w:r>
        <w:rPr>
          <w:rFonts w:ascii="Times New Roman" w:hAnsi="Times New Roman"/>
          <w:b w:val="0"/>
          <w:i w:val="0"/>
          <w:color w:val="000000"/>
          <w:sz w:val="24"/>
        </w:rPr>
        <w:t>Em Moçambique, a prevalência de hipertensão nos adultos de 25 a 64 anos subiu de 33,1% em 2005 para 38,9% em 2014-2015, e só 44,5% dos tratados tinham a pressão controlada (7), o que deixa uma grande proporção de doentes expostos a complicações; a formação dos profissionais continua orientada para as doenças infecciosas, com competências, equipamento e medicamentos insuficientes para a hipertensão (8). Dados hospitalares recentes, detalhados na revisão da literatura, confirmam que a hipertensão é uma causa relevante de agravamento agudo e de admissão hospitalar no país, incluindo no Hospital Central de Nampula (HCN) (9,10).</w:t>
      </w:r>
    </w:p>
    <w:p>
      <w:pPr>
        <w:jc w:val="both"/>
      </w:pPr>
      <w:r>
        <w:rPr>
          <w:rFonts w:ascii="Times New Roman" w:hAnsi="Times New Roman"/>
          <w:b w:val="0"/>
          <w:i w:val="0"/>
          <w:color w:val="000000"/>
          <w:sz w:val="24"/>
        </w:rPr>
        <w:t>O país tem, ao mesmo tempo, uma flora medicinal rica e em uso: um inventário bibliográfico registou 731 espécies e táxones infra-específicos de plantas medicinais em Moçambique, 81% das quais indígenas (11), e, no distrito de Mogovolas, na província de Nampula, 16 praticantes de medicina tradicional citaram 37 plantas só para a malária, o que ilustra a extensão do conhecimento local sobre plantas (12). O Estado reconhece esta realidade: ao abrigo da Política da Medicina Tradicional, aprovada em 2004, foi criado em 2010 o Instituto de Medicina Tradicional (IMT), na dependência do Ministério da Saúde (MISAU) (13).</w:t>
      </w:r>
    </w:p>
    <w:p>
      <w:pPr>
        <w:jc w:val="both"/>
      </w:pPr>
      <w:r>
        <w:rPr>
          <w:rFonts w:ascii="Times New Roman" w:hAnsi="Times New Roman"/>
          <w:b w:val="0"/>
          <w:i w:val="0"/>
          <w:color w:val="000000"/>
          <w:sz w:val="24"/>
        </w:rPr>
        <w:t>Na província de Nampula, os praticantes de medicina tradicional entrevistados junto de cinco centros de saúde declararam usar sobretudo plantas medicinais e mostraram-se disponíveis para colaborar com o sistema de saúde (14). Falta, porém, o outro lado da questão, precisamente onde a literatura africana sugere que o risco é maior: nenhum estudo mediu, entre os hipertensos internados nos Departamentos de Medicina I e II do HCN, quantos combinam plantas com os anti-hipertensores prescritos, se o dizem aos profissionais e, sobretudo, que combinações têm potencial de interacção descrito. O presente estudo propõe-se responder a estas perguntas, com identificação botânica e classificação sistemática do potencial de interacção, e verificar se o uso concomitante é mais frequente nos doentes com uma complicação hipertensiva, para fundamentar a inclusão da pergunta sobre medicina tradicional na anamnese farmacêutica hospitalar.</w:t>
      </w:r>
    </w:p>
    <w:p>
      <w:pPr>
        <w:pStyle w:val="Heading1"/>
      </w:pPr>
      <w:r>
        <w:rPr>
          <w:rFonts w:ascii="Times New Roman" w:hAnsi="Times New Roman"/>
          <w:b/>
          <w:i w:val="0"/>
          <w:color w:val="000000"/>
          <w:sz w:val="26"/>
        </w:rPr>
        <w:t>2. IDENTIFICAÇÃO E FORMULAÇÃO DO PROBLEMA E DELIMITAÇÃO</w:t>
      </w:r>
    </w:p>
    <w:p>
      <w:pPr>
        <w:jc w:val="both"/>
      </w:pPr>
      <w:r>
        <w:rPr>
          <w:rFonts w:ascii="Times New Roman" w:hAnsi="Times New Roman"/>
          <w:b w:val="0"/>
          <w:i w:val="0"/>
          <w:color w:val="000000"/>
          <w:sz w:val="24"/>
        </w:rPr>
        <w:t>Nos Departamentos de Medicina I e II do HCN, o doente admitido por hipertensão arterial ou por uma complicação hipertensiva entra numa rotina centrada nos medicamentos convencionais: história clínica, prescrição, reconciliação terapêutica à admissão e alta. A pergunta sobre plantas e preparações tradicionais não faz parte de nenhum formulário de admissão conhecido, pelo que o uso fica, em regra, por registar. Em hipertensos africanos de ambulatório, entre 70,2% e 85,1% dos utilizadores não tinham revelado o uso ao profissional (15,16); num estudo recente com 658 doentes crónicos no Vietname, 96% dos utilizadores não o tinham revelado (17). No internamento do HCN, a dimensão deste silêncio é desconhecida.</w:t>
      </w:r>
    </w:p>
    <w:p>
      <w:pPr>
        <w:jc w:val="both"/>
      </w:pPr>
      <w:r>
        <w:rPr>
          <w:rFonts w:ascii="Times New Roman" w:hAnsi="Times New Roman"/>
          <w:b w:val="0"/>
          <w:i w:val="0"/>
          <w:color w:val="000000"/>
          <w:sz w:val="24"/>
        </w:rPr>
        <w:t>A consequência é uma zona cega na segurança da terapêutica, tanto mais grave quanto mais doente está o utente. Quando a equipa não sabe que o doente tomou uma decocção ou um chá junto com o anti-hipertensor, uma pressão descontrolada, uma alteração renal ou a própria complicação que motivou o internamento pode ser atribuída apenas a má adesão prévia. As associações já descritas entre o uso de medicina tradicional e a hipertensão grave e as complicações renais (5) tornam este risco plausível precisamente no doente internado, que os familiares podem continuar a expor à planta durante o internamento, por confiarem nela mais do que no medicamento, o que só é detectado se alguém perguntar.</w:t>
      </w:r>
    </w:p>
    <w:p>
      <w:pPr>
        <w:jc w:val="both"/>
      </w:pPr>
      <w:r>
        <w:rPr>
          <w:rFonts w:ascii="Times New Roman" w:hAnsi="Times New Roman"/>
          <w:b w:val="0"/>
          <w:i w:val="0"/>
          <w:color w:val="000000"/>
          <w:sz w:val="24"/>
        </w:rPr>
        <w:t>O problema tem ainda uma dificuldade técnica própria. Os doentes referem as plantas pelo nome vernáculo, e o mesmo nome pode designar espécies diferentes, tal como a mesma espécie pode ter vários nomes. Sem identificação botânica, não é possível consultar a literatura sobre interacções com rigor, e mesmo quando a espécie é conhecida, as bases de dados cobrem mal as plantas africanas: no estudo vietnamita, várias espécies indígenas não constavam de nenhuma das quatro bases consultadas e só 0,7% das interacções eram descritas de forma concordante em todas (17). Falta, portanto, saber, entre os hipertensos internados no HCN, qual é a frequência do uso concomitante, que espécies estão em causa, se o uso é comunicado e perguntado, que combinações com os anti-hipertensores prescritos têm potencial de interacção descrito e se esse uso é mais frequente nos doentes internados por uma complicação.</w:t>
      </w:r>
    </w:p>
    <w:p>
      <w:pPr>
        <w:pStyle w:val="Heading2"/>
      </w:pPr>
      <w:r>
        <w:rPr>
          <w:rFonts w:ascii="Times New Roman" w:hAnsi="Times New Roman"/>
          <w:b/>
          <w:i w:val="0"/>
          <w:color w:val="000000"/>
          <w:sz w:val="24"/>
        </w:rPr>
        <w:t>2.1. Pergunta de investigação</w:t>
      </w:r>
    </w:p>
    <w:p>
      <w:pPr>
        <w:jc w:val="both"/>
      </w:pPr>
      <w:r>
        <w:rPr>
          <w:rFonts w:ascii="Times New Roman" w:hAnsi="Times New Roman"/>
          <w:b w:val="0"/>
          <w:i/>
          <w:color w:val="000000"/>
          <w:sz w:val="24"/>
        </w:rPr>
        <w:t>Qual é a proporção de adultos internados por hipertensão arterial ou por uma complicação hipertensiva nos Departamentos de Medicina I e II do Hospital Central de Nampula que usam plantas medicinais em simultâneo com os anti-hipertensores prescritos, em que medida revelam esse uso aos profissionais de saúde, que combinações apresentam potencial de interacção descrito na literatura e esse uso é mais frequente entre os doentes com uma complicação hipertensiva?</w:t>
      </w:r>
    </w:p>
    <w:p>
      <w:pPr>
        <w:pStyle w:val="Heading2"/>
      </w:pPr>
      <w:r>
        <w:rPr>
          <w:rFonts w:ascii="Times New Roman" w:hAnsi="Times New Roman"/>
          <w:b/>
          <w:i w:val="0"/>
          <w:color w:val="000000"/>
          <w:sz w:val="24"/>
        </w:rPr>
        <w:t>2.2. Delimitação do estudo</w:t>
      </w:r>
    </w:p>
    <w:p>
      <w:pPr>
        <w:jc w:val="both"/>
      </w:pPr>
      <w:r>
        <w:rPr>
          <w:rFonts w:ascii="Times New Roman" w:hAnsi="Times New Roman"/>
          <w:b w:val="0"/>
          <w:i w:val="0"/>
          <w:color w:val="000000"/>
          <w:sz w:val="24"/>
        </w:rPr>
        <w:t>O estudo decorre nos Departamentos de Medicina I e II do HCN, hospital de referência central para a província de Nampula. A população é constituída por adultos com 18 ou mais anos, internados nestes departamentos por hipertensão arterial ou por uma complicação atribuída à hipertensão, com pelo menos um anti-hipertensor prescrito antes ou durante o internamento. A recolha de dados junto dos doentes decorre de 1 de Março a 30 de Junho de 2027, e o uso de plantas refere-se aos 30 dias anteriores à admissão e aos 12 meses anteriores à entrevista. O objecto de estudo é o uso concomitante, a identidade botânica das espécies mais citadas, a comunicação com os profissionais, o potencial de interacção das combinações com os anti-hipertensores e a associação entre o uso e a gravidade do quadro que motivou o internamento.</w:t>
      </w:r>
    </w:p>
    <w:p>
      <w:pPr>
        <w:jc w:val="both"/>
      </w:pPr>
      <w:r>
        <w:rPr>
          <w:rFonts w:ascii="Times New Roman" w:hAnsi="Times New Roman"/>
          <w:b w:val="0"/>
          <w:i w:val="0"/>
          <w:color w:val="000000"/>
          <w:sz w:val="24"/>
        </w:rPr>
        <w:t>Ficam fora do âmbito as crianças, as grávidas, os doentes seguidos apenas em consulta externa ou noutros departamentos, os doentes diabéticos ou em tratamento anti-retroviral sem hipertensão, as clínicas privadas, a perspectiva dos praticantes de medicina tradicional, só contactados para a recolha de exemplares, a eficácia farmacológica das plantas, a análise química dos produtos e a demonstração clínica de interacções em cada doente, que exigiria medições próprias, fora do alcance de uma licenciatura. O estudo identifica combinações com potencial de interacção descrito na literatura; não prova que a interacção ocorreu no doente individual.</w:t>
      </w:r>
    </w:p>
    <w:p>
      <w:pPr>
        <w:pStyle w:val="Heading1"/>
      </w:pPr>
      <w:r>
        <w:rPr>
          <w:rFonts w:ascii="Times New Roman" w:hAnsi="Times New Roman"/>
          <w:b/>
          <w:i w:val="0"/>
          <w:color w:val="000000"/>
          <w:sz w:val="26"/>
        </w:rPr>
        <w:t>3. OBJECTIVOS</w:t>
      </w:r>
    </w:p>
    <w:p>
      <w:pPr>
        <w:pStyle w:val="Heading2"/>
      </w:pPr>
      <w:r>
        <w:rPr>
          <w:rFonts w:ascii="Times New Roman" w:hAnsi="Times New Roman"/>
          <w:b/>
          <w:i w:val="0"/>
          <w:color w:val="000000"/>
          <w:sz w:val="24"/>
        </w:rPr>
        <w:t>3.1. Objectivo geral</w:t>
      </w:r>
    </w:p>
    <w:p>
      <w:pPr>
        <w:jc w:val="both"/>
      </w:pPr>
      <w:r>
        <w:rPr>
          <w:rFonts w:ascii="Times New Roman" w:hAnsi="Times New Roman"/>
          <w:b w:val="0"/>
          <w:i w:val="0"/>
          <w:color w:val="000000"/>
          <w:sz w:val="24"/>
        </w:rPr>
        <w:t>Avaliar o uso concomitante de plantas medicinais e anti-hipertensores, a sua comunicação aos profissionais de saúde, o potencial de interacção das combinações e a associação entre o uso e a gravidade da apresentação clínica em adultos internados por hipertensão arterial ou por uma complicação hipertensiva nos Departamentos de Medicina I e II do Hospital Central de Nampula, em 2027.</w:t>
      </w:r>
    </w:p>
    <w:p>
      <w:pPr>
        <w:pStyle w:val="Heading2"/>
      </w:pPr>
      <w:r>
        <w:rPr>
          <w:rFonts w:ascii="Times New Roman" w:hAnsi="Times New Roman"/>
          <w:b/>
          <w:i w:val="0"/>
          <w:color w:val="000000"/>
          <w:sz w:val="24"/>
        </w:rPr>
        <w:t>3.2. Objectivos específicos</w:t>
      </w:r>
    </w:p>
    <w:p>
      <w:pPr>
        <w:tabs>
          <w:tab w:pos="510" w:val="left"/>
        </w:tabs>
        <w:spacing w:after="60"/>
        <w:ind w:left="510" w:hanging="340"/>
        <w:jc w:val="both"/>
      </w:pPr>
      <w:r>
        <w:rPr>
          <w:rFonts w:ascii="Times New Roman" w:hAnsi="Times New Roman"/>
          <w:b w:val="0"/>
          <w:i w:val="0"/>
          <w:color w:val="000000"/>
          <w:sz w:val="24"/>
        </w:rPr>
        <w:t>1.</w:t>
        <w:tab/>
        <w:t>Determinar a proporção de doentes internados que usaram plantas medicinais ou preparações tradicionais em simultâneo com os anti-hipertensores prescritos.</w:t>
      </w:r>
    </w:p>
    <w:p>
      <w:pPr>
        <w:tabs>
          <w:tab w:pos="510" w:val="left"/>
        </w:tabs>
        <w:spacing w:after="60"/>
        <w:ind w:left="510" w:hanging="340"/>
        <w:jc w:val="both"/>
      </w:pPr>
      <w:r>
        <w:rPr>
          <w:rFonts w:ascii="Times New Roman" w:hAnsi="Times New Roman"/>
          <w:b w:val="0"/>
          <w:i w:val="0"/>
          <w:color w:val="000000"/>
          <w:sz w:val="24"/>
        </w:rPr>
        <w:t>2.</w:t>
        <w:tab/>
        <w:t>Caracterizar as plantas e preparações usadas quanto ao nome vernáculo em emakhuwa e em português, à identidade botânica, à parte usada, à forma de preparação e à via, bem como os motivos do uso, a fonte de obtenção, o custo e as alterações do tratamento anti-hipertensor atribuídas a esse uso.</w:t>
      </w:r>
    </w:p>
    <w:p>
      <w:pPr>
        <w:tabs>
          <w:tab w:pos="510" w:val="left"/>
        </w:tabs>
        <w:spacing w:after="60"/>
        <w:ind w:left="510" w:hanging="340"/>
        <w:jc w:val="both"/>
      </w:pPr>
      <w:r>
        <w:rPr>
          <w:rFonts w:ascii="Times New Roman" w:hAnsi="Times New Roman"/>
          <w:b w:val="0"/>
          <w:i w:val="0"/>
          <w:color w:val="000000"/>
          <w:sz w:val="24"/>
        </w:rPr>
        <w:t>3.</w:t>
        <w:tab/>
        <w:t>Determinar a proporção de utilizadores que revelaram o uso aos profissionais de saúde, as razões da não revelação e a proporção de doentes a quem esse uso foi perguntado, e analisar a relação entre a pergunta e a revelação.</w:t>
      </w:r>
    </w:p>
    <w:p>
      <w:pPr>
        <w:tabs>
          <w:tab w:pos="510" w:val="left"/>
        </w:tabs>
        <w:spacing w:after="60"/>
        <w:ind w:left="510" w:hanging="340"/>
        <w:jc w:val="both"/>
      </w:pPr>
      <w:r>
        <w:rPr>
          <w:rFonts w:ascii="Times New Roman" w:hAnsi="Times New Roman"/>
          <w:b w:val="0"/>
          <w:i w:val="0"/>
          <w:color w:val="000000"/>
          <w:sz w:val="24"/>
        </w:rPr>
        <w:t>4.</w:t>
        <w:tab/>
        <w:t>Identificar as combinações entre as espécies citadas e os anti-hipertensores em uso com potencial de interacção farmacocinética ou farmacodinâmica descrito na literatura e classificá-las segundo o nível de evidência.</w:t>
      </w:r>
    </w:p>
    <w:p>
      <w:pPr>
        <w:tabs>
          <w:tab w:pos="510" w:val="left"/>
        </w:tabs>
        <w:spacing w:after="60"/>
        <w:ind w:left="510" w:hanging="340"/>
        <w:jc w:val="both"/>
      </w:pPr>
      <w:r>
        <w:rPr>
          <w:rFonts w:ascii="Times New Roman" w:hAnsi="Times New Roman"/>
          <w:b w:val="0"/>
          <w:i w:val="0"/>
          <w:color w:val="000000"/>
          <w:sz w:val="24"/>
        </w:rPr>
        <w:t>5.</w:t>
        <w:tab/>
        <w:t>Analisar a associação entre o uso concomitante e a gravidade da apresentação clínica que motivou o internamento (hipertensão sem complicação confirmada ou complicação hipertensiva com lesão de órgão-alvo), a escolaridade e o tempo desde o diagnóstico de hipertensão.</w:t>
      </w:r>
    </w:p>
    <w:p>
      <w:pPr>
        <w:pStyle w:val="Heading1"/>
      </w:pPr>
      <w:r>
        <w:rPr>
          <w:rFonts w:ascii="Times New Roman" w:hAnsi="Times New Roman"/>
          <w:b/>
          <w:i w:val="0"/>
          <w:color w:val="000000"/>
          <w:sz w:val="26"/>
        </w:rPr>
        <w:t>4. HIPÓTESES E QUESTÕES DE INVESTIGAÇÃO</w:t>
      </w:r>
    </w:p>
    <w:p>
      <w:pPr>
        <w:jc w:val="both"/>
      </w:pPr>
      <w:r>
        <w:rPr>
          <w:rFonts w:ascii="Times New Roman" w:hAnsi="Times New Roman"/>
          <w:b w:val="0"/>
          <w:i w:val="0"/>
          <w:color w:val="000000"/>
          <w:sz w:val="24"/>
        </w:rPr>
        <w:t>As hipóteses referem-se às duas componentes analíticas do estudo: a relação entre a pergunta do profissional e a revelação do uso (objectivo 3) e a associação com a gravidade da apresentação clínica (objectivo 5). Os objectivos 1, 2 e 4 são descritivos e orientam-se pelas questões de investigação a seguir.</w:t>
      </w:r>
    </w:p>
    <w:p>
      <w:pPr>
        <w:pStyle w:val="ListBullet"/>
        <w:jc w:val="both"/>
      </w:pPr>
      <w:r>
        <w:rPr>
          <w:rFonts w:ascii="Times New Roman" w:hAnsi="Times New Roman"/>
          <w:b w:val="0"/>
          <w:i w:val="0"/>
          <w:color w:val="000000"/>
          <w:sz w:val="24"/>
        </w:rPr>
        <w:t>H0: entre os utilizadores de plantas, a proporção que revelou o uso a um profissional de saúde não difere entre aqueles a quem o uso foi perguntado e aqueles a quem não foi perguntado.</w:t>
      </w:r>
    </w:p>
    <w:p>
      <w:pPr>
        <w:pStyle w:val="ListBullet"/>
        <w:jc w:val="both"/>
      </w:pPr>
      <w:r>
        <w:rPr>
          <w:rFonts w:ascii="Times New Roman" w:hAnsi="Times New Roman"/>
          <w:b w:val="0"/>
          <w:i w:val="0"/>
          <w:color w:val="000000"/>
          <w:sz w:val="24"/>
        </w:rPr>
        <w:t>H1: entre os utilizadores de plantas, a proporção que revelou o uso é diferente entre aqueles a quem o uso foi perguntado e aqueles a quem não foi perguntado.</w:t>
      </w:r>
    </w:p>
    <w:p>
      <w:pPr>
        <w:pStyle w:val="ListBullet"/>
        <w:jc w:val="both"/>
      </w:pPr>
      <w:r>
        <w:rPr>
          <w:rFonts w:ascii="Times New Roman" w:hAnsi="Times New Roman"/>
          <w:b w:val="0"/>
          <w:i w:val="0"/>
          <w:color w:val="000000"/>
          <w:sz w:val="24"/>
        </w:rPr>
        <w:t>H0: a proporção de uso concomitante de plantas medicinais não difere entre os doentes internados por hipertensão sem complicação confirmada e os internados por uma complicação hipertensiva com lesão de órgão-alvo.</w:t>
      </w:r>
    </w:p>
    <w:p>
      <w:pPr>
        <w:pStyle w:val="ListBullet"/>
        <w:jc w:val="both"/>
      </w:pPr>
      <w:r>
        <w:rPr>
          <w:rFonts w:ascii="Times New Roman" w:hAnsi="Times New Roman"/>
          <w:b w:val="0"/>
          <w:i w:val="0"/>
          <w:color w:val="000000"/>
          <w:sz w:val="24"/>
        </w:rPr>
        <w:t>H1: a proporção de uso concomitante de plantas medicinais é maior entre os doentes internados por uma complicação hipertensiva com lesão de órgão-alvo do que entre os internados por hipertensão sem complicação confirmada.</w:t>
      </w:r>
    </w:p>
    <w:p>
      <w:pPr>
        <w:jc w:val="both"/>
      </w:pPr>
      <w:r>
        <w:rPr>
          <w:rFonts w:ascii="Times New Roman" w:hAnsi="Times New Roman"/>
          <w:b w:val="0"/>
          <w:i w:val="0"/>
          <w:color w:val="000000"/>
          <w:sz w:val="24"/>
        </w:rPr>
        <w:t>Para as componentes descritivas, formulam-se as seguintes questões de investigação:</w:t>
      </w:r>
    </w:p>
    <w:p>
      <w:pPr>
        <w:tabs>
          <w:tab w:pos="510" w:val="left"/>
        </w:tabs>
        <w:spacing w:after="60"/>
        <w:ind w:left="510" w:hanging="340"/>
        <w:jc w:val="both"/>
      </w:pPr>
      <w:r>
        <w:rPr>
          <w:rFonts w:ascii="Times New Roman" w:hAnsi="Times New Roman"/>
          <w:b w:val="0"/>
          <w:i w:val="0"/>
          <w:color w:val="000000"/>
          <w:sz w:val="24"/>
        </w:rPr>
        <w:t>1.</w:t>
        <w:tab/>
        <w:t>Com que frequência os doentes internados por hipertensão nos Departamentos de Medicina I e II do HCN usam plantas medicinais em simultâneo com os anti-hipertensores prescritos?</w:t>
      </w:r>
    </w:p>
    <w:p>
      <w:pPr>
        <w:tabs>
          <w:tab w:pos="510" w:val="left"/>
        </w:tabs>
        <w:spacing w:after="60"/>
        <w:ind w:left="510" w:hanging="340"/>
        <w:jc w:val="both"/>
      </w:pPr>
      <w:r>
        <w:rPr>
          <w:rFonts w:ascii="Times New Roman" w:hAnsi="Times New Roman"/>
          <w:b w:val="0"/>
          <w:i w:val="0"/>
          <w:color w:val="000000"/>
          <w:sz w:val="24"/>
        </w:rPr>
        <w:t>2.</w:t>
        <w:tab/>
        <w:t>Que espécies, partes da planta e formas de preparação são usadas, com que finalidade, onde são obtidas e quanto custam?</w:t>
      </w:r>
    </w:p>
    <w:p>
      <w:pPr>
        <w:tabs>
          <w:tab w:pos="510" w:val="left"/>
        </w:tabs>
        <w:spacing w:after="60"/>
        <w:ind w:left="510" w:hanging="340"/>
        <w:jc w:val="both"/>
      </w:pPr>
      <w:r>
        <w:rPr>
          <w:rFonts w:ascii="Times New Roman" w:hAnsi="Times New Roman"/>
          <w:b w:val="0"/>
          <w:i w:val="0"/>
          <w:color w:val="000000"/>
          <w:sz w:val="24"/>
        </w:rPr>
        <w:t>3.</w:t>
        <w:tab/>
        <w:t>Que combinações entre as espécies identificadas e os anti-hipertensores em uso têm potencial de interacção descrito, com que mecanismo e com que nível de evidência?</w:t>
      </w:r>
    </w:p>
    <w:p>
      <w:pPr>
        <w:pStyle w:val="Heading1"/>
      </w:pPr>
      <w:r>
        <w:rPr>
          <w:rFonts w:ascii="Times New Roman" w:hAnsi="Times New Roman"/>
          <w:b/>
          <w:i w:val="0"/>
          <w:color w:val="000000"/>
          <w:sz w:val="26"/>
        </w:rPr>
        <w:t>5. JUSTIFICATIVA</w:t>
      </w:r>
    </w:p>
    <w:p>
      <w:pPr>
        <w:jc w:val="both"/>
      </w:pPr>
      <w:r>
        <w:rPr>
          <w:rFonts w:ascii="Times New Roman" w:hAnsi="Times New Roman"/>
          <w:b w:val="0"/>
          <w:i w:val="0"/>
          <w:color w:val="000000"/>
          <w:sz w:val="24"/>
        </w:rPr>
        <w:t>A escolha do tema responde a uma lacuna concreta e com consequências clínicas imediatas. O doente hipertenso internado é o utente em que uma interacção entre uma planta e o anti-hipertensor tem maior probabilidade de se traduzir num agravamento mensurável, e o farmacêutico hospitalar está em melhor posição para a detectar na reconciliação terapêutica. Saber se e o que os doentes combinam com plantas é condição para uma prescrição e dispensa hospitalares seguras, e a resposta não se encontra na literatura sobre o HCN.</w:t>
      </w:r>
    </w:p>
    <w:p>
      <w:pPr>
        <w:pStyle w:val="Heading2"/>
      </w:pPr>
      <w:r>
        <w:rPr>
          <w:rFonts w:ascii="Times New Roman" w:hAnsi="Times New Roman"/>
          <w:b/>
          <w:i w:val="0"/>
          <w:color w:val="000000"/>
          <w:sz w:val="24"/>
        </w:rPr>
        <w:t>5.1. Relevância científica</w:t>
      </w:r>
    </w:p>
    <w:p>
      <w:pPr>
        <w:jc w:val="both"/>
      </w:pPr>
      <w:r>
        <w:rPr>
          <w:rFonts w:ascii="Times New Roman" w:hAnsi="Times New Roman"/>
          <w:b w:val="0"/>
          <w:i w:val="0"/>
          <w:color w:val="000000"/>
          <w:sz w:val="24"/>
        </w:rPr>
        <w:t>O estudo produz a primeira estimativa, para o HCN, da frequência do uso concomitante de plantas medicinais e anti-hipertensores entre doentes hipertensos internados, com definições operacionais explícitas de uso, de revelação e de pergunta pelo profissional. A meta-análise sobre revelação atribuiu parte da heterogeneidade entre estudos à falta de uma medida padronizada (3); medir a revelação e a pergunta com itens definidos a priori permite comparações futuras, e centrar o estudo numa só doença aprofunda a componente de interacções, pouco sistematizada nos estudos de prevalência revistos (17,18).</w:t>
      </w:r>
    </w:p>
    <w:p>
      <w:pPr>
        <w:jc w:val="both"/>
      </w:pPr>
      <w:r>
        <w:rPr>
          <w:rFonts w:ascii="Times New Roman" w:hAnsi="Times New Roman"/>
          <w:b w:val="0"/>
          <w:i w:val="0"/>
          <w:color w:val="000000"/>
          <w:sz w:val="24"/>
        </w:rPr>
        <w:t>A componente etnofarmacológica acrescenta valor próprio. O inventário nacional de plantas medicinais foi compilado a partir de 29 fontes bibliográficas (11), e os estudos de campo publicados no norte do país centram-se em praticantes e em doenças infecciosas (12,14). Ligar os nomes vernáculos citados por doentes hipertensos internados a espécies confirmadas por exemplar de herbário, e classificar cada combinação com os anti-hipertensores por dois avaliadores independentes com base em evidência farmacocinética e farmacodinâmica (19,20), gera dados verificáveis que outros investigadores podem reutilizar.</w:t>
      </w:r>
    </w:p>
    <w:p>
      <w:pPr>
        <w:pStyle w:val="Heading2"/>
      </w:pPr>
      <w:r>
        <w:rPr>
          <w:rFonts w:ascii="Times New Roman" w:hAnsi="Times New Roman"/>
          <w:b/>
          <w:i w:val="0"/>
          <w:color w:val="000000"/>
          <w:sz w:val="24"/>
        </w:rPr>
        <w:t>5.2. Relevância académica</w:t>
      </w:r>
    </w:p>
    <w:p>
      <w:pPr>
        <w:jc w:val="both"/>
      </w:pPr>
      <w:r>
        <w:rPr>
          <w:rFonts w:ascii="Times New Roman" w:hAnsi="Times New Roman"/>
          <w:b w:val="0"/>
          <w:i w:val="0"/>
          <w:color w:val="000000"/>
          <w:sz w:val="24"/>
        </w:rPr>
        <w:t>Para a Licenciatura em Farmácia da Universidade Lúrio, o tema junta a farmacognosia, a farmacologia cardiovascular e a farmacovigilância hospitalar num problema real do serviço. O interesse académico pela medicina integrativa em Moçambique é recente: no primeiro curso deste tipo na Universidade Eduardo Mondlane, 134 dos 164 estudantes inscritos concluíram a formação e a fitoterapia foi o tema mais relevante (21). O questionário traduzido para emakhuwa, a ficha de identificação botânica e o protocolo de classificação do potencial de interacção ficam disponíveis para trabalhos posteriores do curso.</w:t>
      </w:r>
    </w:p>
    <w:p>
      <w:pPr>
        <w:pStyle w:val="Heading2"/>
      </w:pPr>
      <w:r>
        <w:rPr>
          <w:rFonts w:ascii="Times New Roman" w:hAnsi="Times New Roman"/>
          <w:b/>
          <w:i w:val="0"/>
          <w:color w:val="000000"/>
          <w:sz w:val="24"/>
        </w:rPr>
        <w:t>5.3. Relevância social</w:t>
      </w:r>
    </w:p>
    <w:p>
      <w:pPr>
        <w:jc w:val="both"/>
      </w:pPr>
      <w:r>
        <w:rPr>
          <w:rFonts w:ascii="Times New Roman" w:hAnsi="Times New Roman"/>
          <w:b w:val="0"/>
          <w:i w:val="0"/>
          <w:color w:val="000000"/>
          <w:sz w:val="24"/>
        </w:rPr>
        <w:t>Os doentes que combinam plantas com anti-hipertensores fazem-no, em geral, por razões compreensíveis, que vão da crença na eficácia à falta de medicamento na unidade sanitária. Um estudo que pergunta sem julgar, aconselha e encaminha quem reduziu o tratamento, e devolve os resultados às associações de praticantes, contribui para uma relação de confiança entre doentes, famílias, praticantes e a equipa hospitalar. Na província de Nampula, os praticantes entrevistados mostraram-se disponíveis para colaborar com o sistema de saúde (14); conhecer as práticas dos doentes internados é o primeiro passo para uma articulação semelhante ao nível hospitalar.</w:t>
      </w:r>
    </w:p>
    <w:p>
      <w:pPr>
        <w:pStyle w:val="Heading2"/>
      </w:pPr>
      <w:r>
        <w:rPr>
          <w:rFonts w:ascii="Times New Roman" w:hAnsi="Times New Roman"/>
          <w:b/>
          <w:i w:val="0"/>
          <w:color w:val="000000"/>
          <w:sz w:val="24"/>
        </w:rPr>
        <w:t>5.4. Relevância política</w:t>
      </w:r>
    </w:p>
    <w:p>
      <w:pPr>
        <w:jc w:val="both"/>
      </w:pPr>
      <w:r>
        <w:rPr>
          <w:rFonts w:ascii="Times New Roman" w:hAnsi="Times New Roman"/>
          <w:b w:val="0"/>
          <w:i w:val="0"/>
          <w:color w:val="000000"/>
          <w:sz w:val="24"/>
        </w:rPr>
        <w:t>O IMT vela pelo uso apropriado e seguro da medicina tradicional e promove a formação dos técnicos de saúde nesta matéria (13), e o regulamento de 2023 dispensa do registo as preparações extemporâneas e artesanais em pequena escala (22), precisamente as que os doentes obtêm de praticantes e mercados; para estes produtos, a anamnese hospitalar e a farmacovigilância são as principais salvaguardas. Os resultados servem a Direcção Clínica do HCN, o Departamento de Farmácia e as estruturas do MISAU responsáveis pela medicina tradicional na decisão de incluir a pergunta sobre plantas na ficha de admissão e na reconciliação terapêutica, em linha com a estratégia da OMS (1).</w:t>
      </w:r>
    </w:p>
    <w:p>
      <w:pPr>
        <w:pStyle w:val="Heading1"/>
      </w:pPr>
      <w:r>
        <w:rPr>
          <w:rFonts w:ascii="Times New Roman" w:hAnsi="Times New Roman"/>
          <w:b/>
          <w:i w:val="0"/>
          <w:color w:val="000000"/>
          <w:sz w:val="26"/>
        </w:rPr>
        <w:t>6. REVISÃO DA LITERATURA</w:t>
      </w:r>
    </w:p>
    <w:p>
      <w:pPr>
        <w:pStyle w:val="Heading2"/>
      </w:pPr>
      <w:r>
        <w:rPr>
          <w:rFonts w:ascii="Times New Roman" w:hAnsi="Times New Roman"/>
          <w:b/>
          <w:i w:val="0"/>
          <w:color w:val="000000"/>
          <w:sz w:val="24"/>
        </w:rPr>
        <w:t>6.1. Conceitos, definições operacionais e magnitude da hipertensão internada</w:t>
      </w:r>
    </w:p>
    <w:p>
      <w:pPr>
        <w:jc w:val="both"/>
      </w:pPr>
      <w:r>
        <w:rPr>
          <w:rFonts w:ascii="Times New Roman" w:hAnsi="Times New Roman"/>
          <w:b w:val="0"/>
          <w:i w:val="0"/>
          <w:color w:val="000000"/>
          <w:sz w:val="24"/>
        </w:rPr>
        <w:t>Na estratégia para 2025-2034, a OMS define a medicina tradicional como o conjunto de sistemas, codificados ou não, de cuidados de saúde e bem-estar, com práticas, competências e conhecimentos originados em contextos históricos e culturais distintos da biomedicina, tratada em conjunto com a medicina complementar e integrativa (1). Neste estudo, planta medicinal é qualquer planta, ou parte dela, usada com intenção terapêutica, e preparação tradicional é qualquer produto obtido a partir de plantas por decocção, infusão, maceração, pulverização ou mistura, fornecido por praticante, comprado em mercado ou preparado em casa. A legislação moçambicana define medicamento fitoterápico como o que tem exclusivamente substâncias derivadas de plantas como substâncias activas (22); os produtos fitoterápicos embalados vendidos em farmácias ou ervanárias contam também como uso de plantas.</w:t>
      </w:r>
    </w:p>
    <w:p>
      <w:pPr>
        <w:jc w:val="both"/>
      </w:pPr>
      <w:r>
        <w:rPr>
          <w:rFonts w:ascii="Times New Roman" w:hAnsi="Times New Roman"/>
          <w:b w:val="0"/>
          <w:i w:val="0"/>
          <w:color w:val="000000"/>
          <w:sz w:val="24"/>
        </w:rPr>
        <w:t>Define-se uso concomitante como o uso de pelo menos uma planta medicinal ou preparação tradicional, com finalidade de saúde, nos 30 dias anteriores à admissão hospitalar, por um doente que, no mesmo período, tinha pelo menos um anti-hipertensor prescrito. Plantas consumidas apenas como alimento (folhas cozinhadas, fruta, condimentos) não contam, excepto quando o doente as toma com intenção terapêutica, como o alho ou o hibisco para baixar a tensão. O período de 30 dias anteriores à admissão é a medida principal, por ser o mais relevante para a interacção que pode ter contribuído para o internamento e o menos sujeito a esquecimento; o uso nos 12 meses anteriores é medida secundária.</w:t>
      </w:r>
    </w:p>
    <w:p>
      <w:pPr>
        <w:jc w:val="both"/>
      </w:pPr>
      <w:r>
        <w:rPr>
          <w:rFonts w:ascii="Times New Roman" w:hAnsi="Times New Roman"/>
          <w:b w:val="0"/>
          <w:i w:val="0"/>
          <w:color w:val="000000"/>
          <w:sz w:val="24"/>
        </w:rPr>
        <w:t>Revelação é a declaração do doente de que informou pelo menos um profissional de saúde sobre o uso de plantas nos 12 meses anteriores, por iniciativa própria ou em resposta a pergunta. Pergunta pelo profissional é a declaração de que, no mesmo período, algum profissional lhe perguntou se usava plantas ou medicamentos tradicionais. Anamnese farmacêutica hospitalar é a recolha estruturada, pelo farmacêutico, da história de medicação do doente à admissão, que alimenta a reconciliação terapêutica.</w:t>
      </w:r>
    </w:p>
    <w:p>
      <w:pPr>
        <w:jc w:val="both"/>
      </w:pPr>
      <w:r>
        <w:rPr>
          <w:rFonts w:ascii="Times New Roman" w:hAnsi="Times New Roman"/>
          <w:b w:val="0"/>
          <w:i w:val="0"/>
          <w:color w:val="000000"/>
          <w:sz w:val="24"/>
        </w:rPr>
        <w:t>Hipertensão arterial é definida, para efeitos de elegibilidade, pelo diagnóstico registado no processo clínico à admissão, independentemente dos valores tensionais no momento da entrevista. Complicação hipertensiva com lesão de órgão-alvo é o diagnóstico de admissão, registado pelo clínico assistente, de acidente vascular cerebral (AVC), insuficiência cardíaca descompensada, lesão renal aguda ou agudização de doença renal crónica, encefalopatia hipertensiva ou outra lesão de órgão atribuída à hipertensão; hipertensão sem complicação confirmada designa os restantes internamentos, incluindo a crise hipertensiva sem lesão de órgão-alvo documentada. Esta distinção segue a lógica da associação já descrita entre uso de medicina tradicional e hipertensão grave ou complicada (5), adaptada ao diagnóstico de admissão disponível no processo.</w:t>
      </w:r>
    </w:p>
    <w:p>
      <w:pPr>
        <w:jc w:val="both"/>
      </w:pPr>
      <w:r>
        <w:rPr>
          <w:rFonts w:ascii="Times New Roman" w:hAnsi="Times New Roman"/>
          <w:b w:val="0"/>
          <w:i w:val="0"/>
          <w:color w:val="000000"/>
          <w:sz w:val="24"/>
        </w:rPr>
        <w:t>A hipertensão é uma causa importante e crescente de doença e de internamento em Moçambique, com a prevalência e o controlo já referidos (7). Num hospital urbano do país, foi o diagnóstico mais frequente entre as doenças crónicas não transmissíveis vigiadas (37,3% de 6.423 casos), e as emergências hipertensivas foram a principal causa de transferência urgente e de óbito à entrada entre essas doenças (9); num estudo de vigilância em três hospitais de referência, incluindo o HCN, as doenças crónicas não transmissíveis corresponderam a um quarto das 7.809 urgências amostradas, mais frequentes com a idade (10). Estes dados não isolam o internamento por hipertensão nos Departamentos de Medicina do HCN, o que justifica a estimativa própria do tamanho da população elegível apresentada na metodologia.</w:t>
      </w:r>
    </w:p>
    <w:p>
      <w:pPr>
        <w:pStyle w:val="Heading2"/>
      </w:pPr>
      <w:r>
        <w:rPr>
          <w:rFonts w:ascii="Times New Roman" w:hAnsi="Times New Roman"/>
          <w:b/>
          <w:i w:val="0"/>
          <w:color w:val="000000"/>
          <w:sz w:val="24"/>
        </w:rPr>
        <w:t>6.2. Flora medicinal e práticas de medicina tradicional em Moçambique</w:t>
      </w:r>
    </w:p>
    <w:p>
      <w:pPr>
        <w:jc w:val="both"/>
      </w:pPr>
      <w:r>
        <w:rPr>
          <w:rFonts w:ascii="Times New Roman" w:hAnsi="Times New Roman"/>
          <w:b w:val="0"/>
          <w:i w:val="0"/>
          <w:color w:val="000000"/>
          <w:sz w:val="24"/>
        </w:rPr>
        <w:t>O inventário nacional de plantas medicinais, já referido, distribui as 731 espécies por 447 géneros e 120 famílias; 590 são indígenas e 87 são exóticas, naturalizadas ou cultivadas, e 494 são também usadas como medicinais na África do Sul, sobretudo na província vizinha de KwaZulu-Natal (11). Esta partilha de espécies e usos com a região sugere que a literatura sul-africana sobre interacções pode ser útil, mas não dispensa a confirmação da identidade das plantas usadas em Nampula.</w:t>
      </w:r>
    </w:p>
    <w:p>
      <w:pPr>
        <w:jc w:val="both"/>
      </w:pPr>
      <w:r>
        <w:rPr>
          <w:rFonts w:ascii="Times New Roman" w:hAnsi="Times New Roman"/>
          <w:b w:val="0"/>
          <w:i w:val="0"/>
          <w:color w:val="000000"/>
          <w:sz w:val="24"/>
        </w:rPr>
        <w:t>O comércio de plantas é visível nas cidades: nos mercados de Maputo, os vendedores listaram 64 espécies de 32 famílias para doenças bacterianas e parasitárias, com predomínio das raízes (23). No distrito de Mogovolas, na província de Nampula, 16 praticantes citaram 37 plantas para a malária, preparadas sobretudo a partir de folhas, raízes e casca do caule, com exemplares depositados no herbário da Universidade Eduardo Mondlane (12); embora a indicação seja outra, o estudo mostra que o recurso a raízes e cascas é comum na região e reforça a necessidade de identificação botânica antes de avaliar qualquer interacção. Junto de cinco centros de saúde de distritos da província, 79 praticantes de medicina tradicional declararam usar principalmente plantas e já referiam os casos complicados ao centro de saúde (14); nenhum destes estudos mediu o uso pelos próprios doentes, do lado da procura, que é o que este estudo acrescenta.</w:t>
      </w:r>
    </w:p>
    <w:p>
      <w:pPr>
        <w:pStyle w:val="Heading2"/>
      </w:pPr>
      <w:r>
        <w:rPr>
          <w:rFonts w:ascii="Times New Roman" w:hAnsi="Times New Roman"/>
          <w:b/>
          <w:i w:val="0"/>
          <w:color w:val="000000"/>
          <w:sz w:val="24"/>
        </w:rPr>
        <w:t>6.3. Determinantes e motivos do uso em doentes hipertensos</w:t>
      </w:r>
    </w:p>
    <w:p>
      <w:pPr>
        <w:jc w:val="both"/>
      </w:pPr>
      <w:r>
        <w:rPr>
          <w:rFonts w:ascii="Times New Roman" w:hAnsi="Times New Roman"/>
          <w:b w:val="0"/>
          <w:i w:val="0"/>
          <w:color w:val="000000"/>
          <w:sz w:val="24"/>
        </w:rPr>
        <w:t>Os factores associados ao uso de plantas em hipertensos variam entre contextos. Nos inquéritos nacionais de países de baixo e médio rendimento, o uso para a hipertensão na região africana da OMS foi mais frequente nos homens e nas pessoas com menor escolaridade (2). Em 12 países africanos, os utilizadores eram mais frequentemente homens, residentes em meio rural e com pior adesão ao tratamento, muitas vezes por causa do custo (5). Na Tanzânia, entre hipertensos internados, a menor escolaridade, o emprego não qualificado e a falta de seguro de saúde associaram-se ao uso, sem associação com pior adesão (6). Em Freetown, o uso associou-se a não ter emprego formal e a percepcionar a hipertensão como incurável (16). Esta divergência sobre a escolaridade justifica testá-la sem assumir a direcção do efeito.</w:t>
      </w:r>
    </w:p>
    <w:p>
      <w:pPr>
        <w:jc w:val="both"/>
      </w:pPr>
      <w:r>
        <w:rPr>
          <w:rFonts w:ascii="Times New Roman" w:hAnsi="Times New Roman"/>
          <w:b w:val="0"/>
          <w:i w:val="0"/>
          <w:color w:val="000000"/>
          <w:sz w:val="24"/>
        </w:rPr>
        <w:t>A revisão de 15 estudos sobre o uso simultâneo de plantas e anti-hipertensores identificou como factores a idade, o sexo, a escolaridade, o rendimento e a residência, e verificou que o alho era a planta mais referida, recomendada sobretudo por amigos, ervanários e profissionais de saúde (24). Em Gondar, o receio dos efeitos secundários e a percepção de maior segurança estiveram entre os motivos mais citados pelos hipertensos utilizadores (15), e na África do Sul os doentes referiram insatisfação com os medicamentos prescritos e desconhecimento do risco de interacção (25).</w:t>
      </w:r>
    </w:p>
    <w:p>
      <w:pPr>
        <w:jc w:val="both"/>
      </w:pPr>
      <w:r>
        <w:rPr>
          <w:rFonts w:ascii="Times New Roman" w:hAnsi="Times New Roman"/>
          <w:b w:val="0"/>
          <w:i w:val="0"/>
          <w:color w:val="000000"/>
          <w:sz w:val="24"/>
        </w:rPr>
        <w:t>A fonte de obtenção e o custo raramente são medidos, apesar de condicionarem o risco: as preparações de praticantes ou mercados têm composição desconhecida, as plantas cultivadas são mais fáceis de identificar e os produtos embalados trazem, pelo menos, um rótulo. A falta de equipamento e de medicamentos para a hipertensão nas unidades moçambicanas (8) pode empurrar os doentes para estas fontes; por isso o estudo regista a fonte, o custo mensal e a ruptura de acesso ao anti-hipertensor.</w:t>
      </w:r>
    </w:p>
    <w:p>
      <w:pPr>
        <w:pStyle w:val="Heading2"/>
      </w:pPr>
      <w:r>
        <w:rPr>
          <w:rFonts w:ascii="Times New Roman" w:hAnsi="Times New Roman"/>
          <w:b/>
          <w:i w:val="0"/>
          <w:color w:val="000000"/>
          <w:sz w:val="24"/>
        </w:rPr>
        <w:t>6.4. Comunicação do uso aos profissionais de saúde e farmácia hospitalar</w:t>
      </w:r>
    </w:p>
    <w:p>
      <w:pPr>
        <w:jc w:val="both"/>
      </w:pPr>
      <w:r>
        <w:rPr>
          <w:rFonts w:ascii="Times New Roman" w:hAnsi="Times New Roman"/>
          <w:b w:val="0"/>
          <w:i w:val="0"/>
          <w:color w:val="000000"/>
          <w:sz w:val="24"/>
        </w:rPr>
        <w:t>A revelação do uso é baixa e depende da forma como o profissional comunica. A meta-análise de Foley e colaboradores encontrou, além da taxa global de 33% já referida, valores entre 7% e 80% nos estudos individuais, e identificou como razões da não revelação a ausência de pergunta, o receio da desaprovação e a convicção de que as plantas são seguras; inversamente, a pergunta do profissional foi uma das razões para revelar (3), relação que é a base da hipótese do objectivo específico 3.</w:t>
      </w:r>
    </w:p>
    <w:p>
      <w:pPr>
        <w:jc w:val="both"/>
      </w:pPr>
      <w:r>
        <w:rPr>
          <w:rFonts w:ascii="Times New Roman" w:hAnsi="Times New Roman"/>
          <w:b w:val="0"/>
          <w:i w:val="0"/>
          <w:color w:val="000000"/>
          <w:sz w:val="24"/>
        </w:rPr>
        <w:t>Nos estudos africanos com hipertensos, a não revelação é a regra e abrange entre sete e nove em cada dez utilizadores (15,16), embora em Freetown 92,7% dos inquiridos considerassem as plantas benéficas se recomendadas por um profissional (16). Na África do Sul, os doentes apontaram as atitudes dos enfermeiros e a falta de tempo como obstáculos à conversa (25). Nenhum destes estudos foi feito no momento da admissão hospitalar, quando a reconciliação terapêutica cria uma oportunidade estruturada para a pergunta que não existe na consulta externa.</w:t>
      </w:r>
    </w:p>
    <w:p>
      <w:pPr>
        <w:jc w:val="both"/>
      </w:pPr>
      <w:r>
        <w:rPr>
          <w:rFonts w:ascii="Times New Roman" w:hAnsi="Times New Roman"/>
          <w:b w:val="0"/>
          <w:i w:val="0"/>
          <w:color w:val="000000"/>
          <w:sz w:val="24"/>
        </w:rPr>
        <w:t>O farmacêutico hospitalar está numa posição privilegiada para fazer a pergunta, mas a evidência disponível sobre a prática farmacêutica em geral mostra uma lacuna: numa revisão de 23 estudos sobre farmácia comunitária, menos de metade dos farmacêuticos perguntava ou aconselhava sobre medicina complementar (26), e em Gondar 72,4% dos farmacêuticos comunitários classificaram o seu conhecimento sobre plantas como fraco ou apenas aceitável (27). Medir, no HCN, a proporção de doentes internados a quem nenhum profissional perguntou pelo uso de plantas dá a medida da lacuna que a reconciliação terapêutica hospitalar pode fechar.</w:t>
      </w:r>
    </w:p>
    <w:p>
      <w:pPr>
        <w:pStyle w:val="Heading2"/>
      </w:pPr>
      <w:r>
        <w:rPr>
          <w:rFonts w:ascii="Times New Roman" w:hAnsi="Times New Roman"/>
          <w:b/>
          <w:i w:val="0"/>
          <w:color w:val="000000"/>
          <w:sz w:val="24"/>
        </w:rPr>
        <w:t>6.5. Interacções entre plantas medicinais e anti-hipertensores: mecanismos, evidência e fontes</w:t>
      </w:r>
    </w:p>
    <w:p>
      <w:pPr>
        <w:jc w:val="both"/>
      </w:pPr>
      <w:r>
        <w:rPr>
          <w:rFonts w:ascii="Times New Roman" w:hAnsi="Times New Roman"/>
          <w:b w:val="0"/>
          <w:i w:val="0"/>
          <w:color w:val="000000"/>
          <w:sz w:val="24"/>
        </w:rPr>
        <w:t>As interacções entre plantas e medicamentos podem ser farmacocinéticas, quando constituintes da planta alteram a absorção, o metabolismo ou a eliminação do medicamento, por exemplo por inibição ou indução de isoenzimas do citocromo P-450 ou de transportadores de efluxo, ou farmacodinâmicas, quando a planta soma ou opõe o seu efeito ao do medicamento, como um efeito hipotensor aditivo ou um distúrbio electrolítico que potencia a toxicidade. Na revisão de causalidade já referida, com predomínio de doentes com doença cardiovascular entre os casos analisados, a avaliação usou escalas de probabilidade de interacção (4).</w:t>
      </w:r>
    </w:p>
    <w:p>
      <w:pPr>
        <w:jc w:val="both"/>
      </w:pPr>
      <w:r>
        <w:rPr>
          <w:rFonts w:ascii="Times New Roman" w:hAnsi="Times New Roman"/>
          <w:b w:val="0"/>
          <w:i w:val="0"/>
          <w:color w:val="000000"/>
          <w:sz w:val="24"/>
        </w:rPr>
        <w:t xml:space="preserve">Para os anti-hipertensores, há evidência específica por classe. Com os inibidores da enzima de conversão da angiotensina (IECA), um estudo farmacocinético em ratos mostrou que o extracto aquoso de </w:t>
      </w:r>
      <w:r>
        <w:rPr>
          <w:rFonts w:ascii="Times New Roman" w:hAnsi="Times New Roman"/>
          <w:b w:val="0"/>
          <w:i/>
          <w:color w:val="000000"/>
          <w:sz w:val="24"/>
        </w:rPr>
        <w:t>Hibiscus sabdariffa</w:t>
      </w:r>
      <w:r>
        <w:rPr>
          <w:rFonts w:ascii="Times New Roman" w:hAnsi="Times New Roman"/>
          <w:b w:val="0"/>
          <w:i w:val="0"/>
          <w:color w:val="000000"/>
          <w:sz w:val="24"/>
        </w:rPr>
        <w:t xml:space="preserve"> L. reduziu a área sob a curva do captopril para cerca de um quinto e aumentou a sua depuração corporal aparente, fora do intervalo de bioequivalência, o que sugere risco de perda de eficácia anti-hipertensora (19). Com os bloqueadores dos canais de cálcio, a co-administração de </w:t>
      </w:r>
      <w:r>
        <w:rPr>
          <w:rFonts w:ascii="Times New Roman" w:hAnsi="Times New Roman"/>
          <w:b w:val="0"/>
          <w:i/>
          <w:color w:val="000000"/>
          <w:sz w:val="24"/>
        </w:rPr>
        <w:t>H. sabdariffa</w:t>
      </w:r>
      <w:r>
        <w:rPr>
          <w:rFonts w:ascii="Times New Roman" w:hAnsi="Times New Roman"/>
          <w:b w:val="0"/>
          <w:i w:val="0"/>
          <w:color w:val="000000"/>
          <w:sz w:val="24"/>
        </w:rPr>
        <w:t xml:space="preserve"> ou de </w:t>
      </w:r>
      <w:r>
        <w:rPr>
          <w:rFonts w:ascii="Times New Roman" w:hAnsi="Times New Roman"/>
          <w:b w:val="0"/>
          <w:i/>
          <w:color w:val="000000"/>
          <w:sz w:val="24"/>
        </w:rPr>
        <w:t>Zingiber officinale</w:t>
      </w:r>
      <w:r>
        <w:rPr>
          <w:rFonts w:ascii="Times New Roman" w:hAnsi="Times New Roman"/>
          <w:b w:val="0"/>
          <w:i w:val="0"/>
          <w:color w:val="000000"/>
          <w:sz w:val="24"/>
        </w:rPr>
        <w:t xml:space="preserve"> Roscoe com amlodipina, em ratos hipertensos, potenciou a redução da pressão arterial em relação à amlodipina isolada e alterou a sua farmacocinética, com aumento da área sob a curva (20); a direcção aqui é de reforço aditivo do efeito, com risco de hipotensão. Para o alho, uma meta-análise de 12 ensaios clínicos em 553 hipertensos mostrou uma redução média da pressão sistólica de 8,3 mmHg, semelhante à de um anti-hipertensor de primeira linha, o que configura um efeito farmacodinâmico aditivo plausível com qualquer classe de anti-hipertensor (28). O alcaçuz, constituinte comum de misturas de ervanária, actua por mecanismo distinto: a inibição da enzima que inactiva o cortisol nos rins causa retenção de sódio, perda de potássio e subida da pressão arterial, o que pode agravar a hipocaliemia induzida pelos diuréticos tiazídicos, mecanismo farmacodinâmico conhecido embora não estudado com estes anti-hipertensores em Moçambique.</w:t>
      </w:r>
    </w:p>
    <w:p>
      <w:pPr>
        <w:jc w:val="both"/>
      </w:pPr>
      <w:r>
        <w:rPr>
          <w:rFonts w:ascii="Times New Roman" w:hAnsi="Times New Roman"/>
          <w:b w:val="0"/>
          <w:i w:val="0"/>
          <w:color w:val="000000"/>
          <w:sz w:val="24"/>
        </w:rPr>
        <w:t>Os estudos em doentes crónicos africanos começam a classificar sistematicamente este potencial. Em Blantyre, 301 doentes usavam alho, gengibre, quiabo, limão, manga e moringa com hidroclorotiazida, enalapril e amlodipina, entre outros, e uma revisão dirigida da literatura indicou, nalgumas combinações, potencial relevante de interacção, sem verificação clínica (18). No Vietname, as interacções potenciais identificadas com quatro bases de dados atingiam 31,3% dos utilizadores de plantas, com concordância quase nula entre bases (17).</w:t>
      </w:r>
    </w:p>
    <w:p>
      <w:pPr>
        <w:jc w:val="both"/>
      </w:pPr>
      <w:r>
        <w:rPr>
          <w:rFonts w:ascii="Times New Roman" w:hAnsi="Times New Roman"/>
          <w:b w:val="0"/>
          <w:i w:val="0"/>
          <w:color w:val="000000"/>
          <w:sz w:val="24"/>
        </w:rPr>
        <w:t>Daqui decorre que nenhuma fonte isolada basta para classificar o potencial de interacção com um anti-hipertensor: as monografias da OMS descrevem precauções conhecidas (29), os estudos farmacocinéticos e farmacodinâmicos por classe, como os já citados, fornecem o mecanismo e a direcção do efeito, e a literatura revista por pares, pesquisada por espécie e por classe farmacológica, cobre as combinações ausentes das bases estruturadas. É esta combinação de fontes, aplicada por dois avaliadores independentes, que a metodologia adopta para reforçar a componente de interacções.</w:t>
      </w:r>
    </w:p>
    <w:p>
      <w:pPr>
        <w:pStyle w:val="Heading2"/>
      </w:pPr>
      <w:r>
        <w:rPr>
          <w:rFonts w:ascii="Times New Roman" w:hAnsi="Times New Roman"/>
          <w:b/>
          <w:i w:val="0"/>
          <w:color w:val="000000"/>
          <w:sz w:val="24"/>
        </w:rPr>
        <w:t>6.6. Enquadramento normativo e institucional moçambicano</w:t>
      </w:r>
    </w:p>
    <w:p>
      <w:pPr>
        <w:jc w:val="both"/>
      </w:pPr>
      <w:r>
        <w:rPr>
          <w:rFonts w:ascii="Times New Roman" w:hAnsi="Times New Roman"/>
          <w:b w:val="0"/>
          <w:i w:val="0"/>
          <w:color w:val="000000"/>
          <w:sz w:val="24"/>
        </w:rPr>
        <w:t>A Política da Medicina Tradicional e a Estratégia da sua Implementação foram aprovadas pela Resolução n.º 11/2004, de 14 de Abril, e, ao seu abrigo, o Diploma Ministerial n.º 52/2010 criou o IMT na dependência do Ministro da Saúde, para onde transitaram as competências do Instituto Nacional de Saúde (INS) sobre plantas medicinais. Entre as funções do IMT contam-se velar pelo uso apropriado e seguro da medicina tradicional, obter a colaboração dos praticantes nos programas do MISAU e promover a formação dos técnicos de saúde nesta matéria (13).</w:t>
      </w:r>
    </w:p>
    <w:p>
      <w:pPr>
        <w:jc w:val="both"/>
      </w:pPr>
      <w:r>
        <w:rPr>
          <w:rFonts w:ascii="Times New Roman" w:hAnsi="Times New Roman"/>
          <w:b w:val="0"/>
          <w:i w:val="0"/>
          <w:color w:val="000000"/>
          <w:sz w:val="24"/>
        </w:rPr>
        <w:t>No plano farmacêutico, a Lei n.º 12/2017 estabelece o regime dos medicamentos, vacinas e outros produtos biológicos para uso humano (30). Ao seu abrigo, o Decreto n.º 19/2023 aprovou o regulamento de autorização de introdução no mercado de medicamentos fitoterápicos, atribuiu a sua aplicação à Autoridade Nacional Reguladora de Medicamento (ANARME) e isentou de registo as preparações extemporâneas e artesanais em pequena escala (22). Os produtos embalados ficam, assim, sob controlo regulamentar, enquanto as decocções e misturas fornecidas por praticantes e vendedores escapam ao registo; é sobre estas que o doente precisa de ser interrogado, e a anamnese farmacêutica com uma pergunta explícita sobre plantas é a forma mais simples de o saber e de canalizar as suspeitas de reacção adversa para a farmacovigilância.</w:t>
      </w:r>
    </w:p>
    <w:p>
      <w:pPr>
        <w:pStyle w:val="Heading2"/>
      </w:pPr>
      <w:r>
        <w:rPr>
          <w:rFonts w:ascii="Times New Roman" w:hAnsi="Times New Roman"/>
          <w:b/>
          <w:i w:val="0"/>
          <w:color w:val="000000"/>
          <w:sz w:val="24"/>
        </w:rPr>
        <w:t>6.7. Instrumentos de medida e identificação botânica</w:t>
      </w:r>
    </w:p>
    <w:p>
      <w:pPr>
        <w:jc w:val="both"/>
      </w:pPr>
      <w:r>
        <w:rPr>
          <w:rFonts w:ascii="Times New Roman" w:hAnsi="Times New Roman"/>
          <w:b w:val="0"/>
          <w:i w:val="0"/>
          <w:color w:val="000000"/>
          <w:sz w:val="24"/>
        </w:rPr>
        <w:t>O questionário internacional sobre o uso de medicina complementar e alternativa (I-CAM-Q) tem quatro secções: visitas a prestadores, tratamentos complementares recebidos de médicos, uso de plantas e suplementos, e práticas de auto-cuidado, com espaços para acrescentar práticas locais (31). A sua adaptação transcultural na Argentina usou tradução e retroversão, consulta de 17 peritos pelo método Delphi e entrevistas cognitivas a 18 doentes, e mostrou que a flexibilidade do instrumento permite acrescentar prestadores e práticas locais (32).</w:t>
      </w:r>
    </w:p>
    <w:p>
      <w:pPr>
        <w:jc w:val="both"/>
      </w:pPr>
      <w:r>
        <w:rPr>
          <w:rFonts w:ascii="Times New Roman" w:hAnsi="Times New Roman"/>
          <w:b w:val="0"/>
          <w:i w:val="0"/>
          <w:color w:val="000000"/>
          <w:sz w:val="24"/>
        </w:rPr>
        <w:t>A validade de conteúdo avalia-se por painel de peritos, com o índice de validade de conteúdo (IVC) calculado por item (33), e a tradução para outra língua exige tradução directa por dois tradutores, síntese, retroversão cega e pré-teste com entrevista cognitiva (34). Quando os itens são factuais e dicotómicos, como o uso de plantas, a fiabilidade mede-se melhor pela concordância teste-reteste, com o coeficiente kappa (35), do que por coeficientes de consistência interna, próprios de escalas.</w:t>
      </w:r>
    </w:p>
    <w:p>
      <w:pPr>
        <w:jc w:val="both"/>
      </w:pPr>
      <w:r>
        <w:rPr>
          <w:rFonts w:ascii="Times New Roman" w:hAnsi="Times New Roman"/>
          <w:b w:val="0"/>
          <w:i w:val="0"/>
          <w:color w:val="000000"/>
          <w:sz w:val="24"/>
        </w:rPr>
        <w:t>A identificação botânica é o ponto crítico dos estudos etnofarmacológicos. A declaração de consenso sobre estudos etnofarmacológicos de campo (ConSEFS) estabelece uma lista de verificação de boas práticas (36), e os estudos moçambicanos seguem a prática de depositar exemplares em herbário para identificação científica (12). O nome aceite e a autoridade de cada espécie são confirmados na World Checklist of Vascular Plants, mantida pelos Jardins Botânicos Reais de Kew (37), e no World Flora Online (38).</w:t>
      </w:r>
    </w:p>
    <w:p>
      <w:pPr>
        <w:pStyle w:val="Heading1"/>
      </w:pPr>
      <w:r>
        <w:rPr>
          <w:rFonts w:ascii="Times New Roman" w:hAnsi="Times New Roman"/>
          <w:b/>
          <w:i w:val="0"/>
          <w:color w:val="000000"/>
          <w:sz w:val="26"/>
        </w:rPr>
        <w:t>7. ESTADO DA ARTE E ESQUEMA CONCEPTUAL</w:t>
      </w:r>
    </w:p>
    <w:p>
      <w:pPr>
        <w:pStyle w:val="Heading2"/>
      </w:pPr>
      <w:r>
        <w:rPr>
          <w:rFonts w:ascii="Times New Roman" w:hAnsi="Times New Roman"/>
          <w:b/>
          <w:i w:val="0"/>
          <w:color w:val="000000"/>
          <w:sz w:val="24"/>
        </w:rPr>
        <w:t>7.1. Estado da arte</w:t>
      </w:r>
    </w:p>
    <w:p>
      <w:pPr>
        <w:jc w:val="both"/>
      </w:pPr>
      <w:r>
        <w:rPr>
          <w:rFonts w:ascii="Times New Roman" w:hAnsi="Times New Roman"/>
          <w:b w:val="0"/>
          <w:i w:val="0"/>
          <w:color w:val="000000"/>
          <w:sz w:val="24"/>
        </w:rPr>
        <w:t>O Quadro 1 sintetiza 12 estudos empíricos publicados desde 2016 sobre o uso de plantas medicinais por doentes hipertensos, a sua revelação e o potencial de interacção com anti-hipertensores específicos, incluindo o estudo multinacional com doentes moçambicanos, o estudo de vigilância hospitalar com o HCN e o estudo com praticantes de Nampula.</w:t>
      </w:r>
    </w:p>
    <w:p>
      <w:pPr>
        <w:keepNext/>
        <w:spacing w:before="160" w:after="60" w:line="240" w:lineRule="auto"/>
        <w:jc w:val="left"/>
      </w:pPr>
      <w:r>
        <w:rPr>
          <w:rFonts w:ascii="Times New Roman" w:hAnsi="Times New Roman"/>
          <w:b w:val="0"/>
          <w:i w:val="0"/>
          <w:color w:val="000000"/>
          <w:sz w:val="20"/>
        </w:rPr>
        <w:t>Quadro 1: Síntese de estudos sobre o uso concomitante de plantas medicinais e anti-hipertensores, e sobre interacções descritas com anti-hipertensores (estado da arte)</w:t>
      </w:r>
    </w:p>
    <w:tbl>
      <w:tblPr>
        <w:jc w:val="center"/>
        <w:tblLayout w:type="fixed"/>
        <w:tblLook w:firstColumn="1" w:firstRow="1" w:lastColumn="0" w:lastRow="0" w:noHBand="0" w:noVBand="1" w:val="04A0"/>
        <w:tblW w:w="9072" w:type="dxa"/>
      </w:tblPr>
      <w:tblGrid>
        <w:gridCol w:w="1927"/>
        <w:gridCol w:w="1587"/>
        <w:gridCol w:w="2041"/>
        <w:gridCol w:w="3515"/>
      </w:tblGrid>
      <w:tr>
        <w:trPr>
          <w:tblHeader w:val="true"/>
          <w:cantSplit w:val="true"/>
        </w:trPr>
        <w:tc>
          <w:tcPr>
            <w:tcW w:type="dxa" w:w="1928"/>
            <w:tcBorders>
              <w:left w:val="nil"/>
              <w:right w:val="nil"/>
              <w:insideH w:val="nil"/>
              <w:insideV w:val="nil"/>
              <w:top w:val="single" w:sz="8" w:color="000000"/>
              <w:bottom w:val="single" w:sz="6" w:color="000000"/>
            </w:tcBorders>
          </w:tcPr>
          <w:p>
            <w:pPr>
              <w:spacing w:before="20" w:after="20" w:line="240" w:lineRule="auto"/>
              <w:ind w:firstLine="0"/>
              <w:jc w:val="left"/>
            </w:pPr>
            <w:r/>
            <w:r>
              <w:rPr>
                <w:rFonts w:ascii="Times New Roman" w:hAnsi="Times New Roman"/>
                <w:b/>
                <w:i w:val="0"/>
                <w:color w:val="000000"/>
                <w:sz w:val="22"/>
              </w:rPr>
              <w:t>Autor (ano)</w:t>
            </w:r>
          </w:p>
        </w:tc>
        <w:tc>
          <w:tcPr>
            <w:tcW w:type="dxa" w:w="1587"/>
            <w:tcBorders>
              <w:left w:val="nil"/>
              <w:right w:val="nil"/>
              <w:insideH w:val="nil"/>
              <w:insideV w:val="nil"/>
              <w:top w:val="single" w:sz="8" w:color="000000"/>
              <w:bottom w:val="single" w:sz="6" w:color="000000"/>
            </w:tcBorders>
          </w:tcPr>
          <w:p>
            <w:pPr>
              <w:spacing w:before="20" w:after="20" w:line="240" w:lineRule="auto"/>
              <w:ind w:firstLine="0"/>
              <w:jc w:val="left"/>
            </w:pPr>
            <w:r/>
            <w:r>
              <w:rPr>
                <w:rFonts w:ascii="Times New Roman" w:hAnsi="Times New Roman"/>
                <w:b/>
                <w:i w:val="0"/>
                <w:color w:val="000000"/>
                <w:sz w:val="22"/>
              </w:rPr>
              <w:t>Local</w:t>
            </w:r>
          </w:p>
        </w:tc>
        <w:tc>
          <w:tcPr>
            <w:tcW w:type="dxa" w:w="2041"/>
            <w:tcBorders>
              <w:left w:val="nil"/>
              <w:right w:val="nil"/>
              <w:insideH w:val="nil"/>
              <w:insideV w:val="nil"/>
              <w:top w:val="single" w:sz="8" w:color="000000"/>
              <w:bottom w:val="single" w:sz="6" w:color="000000"/>
            </w:tcBorders>
          </w:tcPr>
          <w:p>
            <w:pPr>
              <w:spacing w:before="20" w:after="20" w:line="240" w:lineRule="auto"/>
              <w:ind w:firstLine="0"/>
              <w:jc w:val="left"/>
            </w:pPr>
            <w:r/>
            <w:r>
              <w:rPr>
                <w:rFonts w:ascii="Times New Roman" w:hAnsi="Times New Roman"/>
                <w:b/>
                <w:i w:val="0"/>
                <w:color w:val="000000"/>
                <w:sz w:val="22"/>
              </w:rPr>
              <w:t>Desenho (n)</w:t>
            </w:r>
          </w:p>
        </w:tc>
        <w:tc>
          <w:tcPr>
            <w:tcW w:type="dxa" w:w="3515"/>
            <w:tcBorders>
              <w:left w:val="nil"/>
              <w:right w:val="nil"/>
              <w:insideH w:val="nil"/>
              <w:insideV w:val="nil"/>
              <w:top w:val="single" w:sz="8" w:color="000000"/>
              <w:bottom w:val="single" w:sz="6" w:color="000000"/>
            </w:tcBorders>
          </w:tcPr>
          <w:p>
            <w:pPr>
              <w:spacing w:before="20" w:after="20" w:line="240" w:lineRule="auto"/>
              <w:ind w:firstLine="0"/>
              <w:jc w:val="left"/>
            </w:pPr>
            <w:r/>
            <w:r>
              <w:rPr>
                <w:rFonts w:ascii="Times New Roman" w:hAnsi="Times New Roman"/>
                <w:b/>
                <w:i w:val="0"/>
                <w:color w:val="000000"/>
                <w:sz w:val="22"/>
              </w:rPr>
              <w:t>Principais resultados</w:t>
            </w:r>
          </w:p>
        </w:tc>
      </w:tr>
      <w:tr>
        <w:trPr>
          <w:cantSplit w:val="true"/>
        </w:trPr>
        <w:tc>
          <w:tcPr>
            <w:tcW w:type="dxa" w:w="1928"/>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Sulola et al. (2025) (2)</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Países de baixo e médio rendimento</w:t>
            </w:r>
          </w:p>
        </w:tc>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Análise conjunta de 71 inquéritos nacionais (309.745)</w:t>
            </w:r>
          </w:p>
        </w:tc>
        <w:tc>
          <w:tcPr>
            <w:tcW w:type="dxa" w:w="351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Uso de medicina tradicional em 8,1% das pessoas com hipertensão diagnosticada; na região africana, maior uso nos homens e na menor escolaridade.</w:t>
            </w:r>
          </w:p>
        </w:tc>
      </w:tr>
      <w:tr>
        <w:trPr>
          <w:cantSplit w:val="true"/>
        </w:trPr>
        <w:tc>
          <w:tcPr>
            <w:tcW w:type="dxa" w:w="1928"/>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Lassale et al. (2022) (5)</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12 países africanos, incluindo Moçambique</w:t>
            </w:r>
          </w:p>
        </w:tc>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Transversal em serviços de cardiologia (2.128 hipertensos)</w:t>
            </w:r>
          </w:p>
        </w:tc>
        <w:tc>
          <w:tcPr>
            <w:tcW w:type="dxa" w:w="351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24% usavam medicina tradicional (10% a 48% entre países); uso associado a hipertensão grave (OR 1,34) e a complicações (OR 1,27), sobretudo renais (OR 1,57).</w:t>
            </w:r>
          </w:p>
        </w:tc>
      </w:tr>
      <w:tr>
        <w:trPr>
          <w:cantSplit w:val="true"/>
        </w:trPr>
        <w:tc>
          <w:tcPr>
            <w:tcW w:type="dxa" w:w="1928"/>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Mocumbi et al. (2019) (10)</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Maputo, Beira e Nampula (HCN), Moçambique</w:t>
            </w:r>
          </w:p>
        </w:tc>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Vigilância multicêntrica, urgências (7.809)</w:t>
            </w:r>
          </w:p>
        </w:tc>
        <w:tc>
          <w:tcPr>
            <w:tcW w:type="dxa" w:w="351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Doenças crónicas não transmissíveis em 25,1% das urgências, mais frequentes com a idade.</w:t>
            </w:r>
          </w:p>
        </w:tc>
      </w:tr>
      <w:tr>
        <w:trPr>
          <w:cantSplit w:val="true"/>
        </w:trPr>
        <w:tc>
          <w:tcPr>
            <w:tcW w:type="dxa" w:w="1928"/>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Das Neves Martins Pires et al. (2018) (14)</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Província de Nampula, Moçambique</w:t>
            </w:r>
          </w:p>
        </w:tc>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Misto, praticantes de medicina tradicional (79)</w:t>
            </w:r>
          </w:p>
        </w:tc>
        <w:tc>
          <w:tcPr>
            <w:tcW w:type="dxa" w:w="351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Uso principal de plantas; referiam casos complicados ao centro de saúde e aceitavam colaborar com o sistema de saúde.</w:t>
            </w:r>
          </w:p>
        </w:tc>
      </w:tr>
      <w:tr>
        <w:trPr>
          <w:cantSplit w:val="true"/>
        </w:trPr>
        <w:tc>
          <w:tcPr>
            <w:tcW w:type="dxa" w:w="1928"/>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Liwa et al. (2017) (6)</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Tanzânia</w:t>
            </w:r>
          </w:p>
        </w:tc>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Misto, hipertensos internados (213)</w:t>
            </w:r>
          </w:p>
        </w:tc>
        <w:tc>
          <w:tcPr>
            <w:tcW w:type="dxa" w:w="351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24,4% usaram plantas no mês anterior e 22,1% em simultâneo com anti-hipertensores; menor escolaridade associada ao uso; sem associação com pior adesão.</w:t>
            </w:r>
          </w:p>
        </w:tc>
      </w:tr>
      <w:tr>
        <w:trPr>
          <w:cantSplit w:val="true"/>
        </w:trPr>
        <w:tc>
          <w:tcPr>
            <w:tcW w:type="dxa" w:w="1928"/>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James et al. (2018) (16)</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Freetown, Serra Leoa</w:t>
            </w:r>
          </w:p>
        </w:tc>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Transversal, hipertensos (260)</w:t>
            </w:r>
          </w:p>
        </w:tc>
        <w:tc>
          <w:tcPr>
            <w:tcW w:type="dxa" w:w="351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56,9% usavam plantas (mel, moringa e alho as mais citadas); 85,1% dos utilizadores não revelaram o uso.</w:t>
            </w:r>
          </w:p>
        </w:tc>
      </w:tr>
      <w:tr>
        <w:trPr>
          <w:cantSplit w:val="true"/>
        </w:trPr>
        <w:tc>
          <w:tcPr>
            <w:tcW w:type="dxa" w:w="1928"/>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Asfaw Erku e Basazn Mekuria (2016) (15)</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Gondar, Etiópia</w:t>
            </w:r>
          </w:p>
        </w:tc>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Transversal, hipertensos em ambulatório (423)</w:t>
            </w:r>
          </w:p>
        </w:tc>
        <w:tc>
          <w:tcPr>
            <w:tcW w:type="dxa" w:w="351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67,8% usavam medicina complementar, sobretudo plantas; 70,2% não revelaram o uso ao médico.</w:t>
            </w:r>
          </w:p>
        </w:tc>
      </w:tr>
      <w:tr>
        <w:trPr>
          <w:cantSplit w:val="true"/>
        </w:trPr>
        <w:tc>
          <w:tcPr>
            <w:tcW w:type="dxa" w:w="1928"/>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Nyirenda et al. (2025) (18)</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Blantyre, Malawi</w:t>
            </w:r>
          </w:p>
        </w:tc>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Misto, diabéticos e hipertensos (301)</w:t>
            </w:r>
          </w:p>
        </w:tc>
        <w:tc>
          <w:tcPr>
            <w:tcW w:type="dxa" w:w="351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Uso de alho, gengibre, quiabo e moringa com hidroclorotiazida, enalapril e amlodipina; potencial de interacção relevante nalgumas combinações, sem verificação clínica.</w:t>
            </w:r>
          </w:p>
        </w:tc>
      </w:tr>
      <w:tr>
        <w:trPr>
          <w:cantSplit w:val="true"/>
        </w:trPr>
        <w:tc>
          <w:tcPr>
            <w:tcW w:type="dxa" w:w="1928"/>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Nurfaradilla et al. (2020) (19)</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Indonésia (estudo em ratos)</w:t>
            </w:r>
          </w:p>
        </w:tc>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 xml:space="preserve">Farmacocinético, captopril e </w:t>
            </w:r>
            <w:r>
              <w:rPr>
                <w:rFonts w:ascii="Times New Roman" w:hAnsi="Times New Roman"/>
                <w:b w:val="0"/>
                <w:i/>
                <w:color w:val="000000"/>
                <w:sz w:val="22"/>
              </w:rPr>
              <w:t>Hibiscus sabdariffa</w:t>
            </w:r>
          </w:p>
        </w:tc>
        <w:tc>
          <w:tcPr>
            <w:tcW w:type="dxa" w:w="351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Extracto de hibisco reduziu a área sob a curva do captopril para cerca de 17% do valor isolado; interacção com inibidor da enzima de conversão da angiotensina.</w:t>
            </w:r>
          </w:p>
        </w:tc>
      </w:tr>
      <w:tr>
        <w:trPr>
          <w:cantSplit w:val="true"/>
        </w:trPr>
        <w:tc>
          <w:tcPr>
            <w:tcW w:type="dxa" w:w="1928"/>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Alam et al. (2021) (20)</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Arábia Saudita (estudo em ratos)</w:t>
            </w:r>
          </w:p>
        </w:tc>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Farmacocinético e farmacodinâmico, amlodipina, hibisco e gengibre</w:t>
            </w:r>
          </w:p>
        </w:tc>
        <w:tc>
          <w:tcPr>
            <w:tcW w:type="dxa" w:w="351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Hibisco e gengibre potenciaram a redução da pressão arterial da amlodipina; interacção com bloqueador dos canais de cálcio.</w:t>
            </w:r>
          </w:p>
        </w:tc>
      </w:tr>
      <w:tr>
        <w:trPr>
          <w:cantSplit w:val="true"/>
        </w:trPr>
        <w:tc>
          <w:tcPr>
            <w:tcW w:type="dxa" w:w="1928"/>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Ried (2020) (28)</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Revisão internacional (ensaios de 1955 a 2018)</w:t>
            </w:r>
          </w:p>
        </w:tc>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Meta-análise, hipertensos (12 ensaios, 553 participantes)</w:t>
            </w:r>
          </w:p>
        </w:tc>
        <w:tc>
          <w:tcPr>
            <w:tcW w:type="dxa" w:w="351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Alho reduziu a pressão sistólica em 8,3 mmHg e a diastólica em 5,5 mmHg, efeito semelhante a um anti-hipertensor de primeira linha.</w:t>
            </w:r>
          </w:p>
        </w:tc>
      </w:tr>
      <w:tr>
        <w:trPr>
          <w:cantSplit w:val="true"/>
        </w:trPr>
        <w:tc>
          <w:tcPr>
            <w:tcW w:type="dxa" w:w="1928"/>
            <w:tcBorders>
              <w:top w:val="nil"/>
              <w:left w:val="nil"/>
              <w:right w:val="nil"/>
              <w:insideH w:val="nil"/>
              <w:insideV w:val="nil"/>
              <w:bottom w:val="single" w:sz="8" w:color="000000"/>
            </w:tcBorders>
          </w:tcPr>
          <w:p>
            <w:pPr>
              <w:spacing w:before="20" w:after="20" w:line="240" w:lineRule="auto"/>
              <w:ind w:firstLine="0"/>
              <w:jc w:val="left"/>
            </w:pPr>
            <w:r/>
            <w:r>
              <w:rPr>
                <w:rFonts w:ascii="Times New Roman" w:hAnsi="Times New Roman"/>
                <w:b w:val="0"/>
                <w:i w:val="0"/>
                <w:color w:val="000000"/>
                <w:sz w:val="22"/>
              </w:rPr>
              <w:t>Phan et al. (2026) (17)</w:t>
            </w:r>
          </w:p>
        </w:tc>
        <w:tc>
          <w:tcPr>
            <w:tcW w:type="dxa" w:w="1587"/>
            <w:tcBorders>
              <w:top w:val="nil"/>
              <w:left w:val="nil"/>
              <w:right w:val="nil"/>
              <w:insideH w:val="nil"/>
              <w:insideV w:val="nil"/>
              <w:bottom w:val="single" w:sz="8" w:color="000000"/>
            </w:tcBorders>
          </w:tcPr>
          <w:p>
            <w:pPr>
              <w:spacing w:before="20" w:after="20" w:line="240" w:lineRule="auto"/>
              <w:ind w:firstLine="0"/>
              <w:jc w:val="left"/>
            </w:pPr>
            <w:r/>
            <w:r>
              <w:rPr>
                <w:rFonts w:ascii="Times New Roman" w:hAnsi="Times New Roman"/>
                <w:b w:val="0"/>
                <w:i w:val="0"/>
                <w:color w:val="000000"/>
                <w:sz w:val="22"/>
              </w:rPr>
              <w:t>Vietname</w:t>
            </w:r>
          </w:p>
        </w:tc>
        <w:tc>
          <w:tcPr>
            <w:tcW w:type="dxa" w:w="2041"/>
            <w:tcBorders>
              <w:top w:val="nil"/>
              <w:left w:val="nil"/>
              <w:right w:val="nil"/>
              <w:insideH w:val="nil"/>
              <w:insideV w:val="nil"/>
              <w:bottom w:val="single" w:sz="8" w:color="000000"/>
            </w:tcBorders>
          </w:tcPr>
          <w:p>
            <w:pPr>
              <w:spacing w:before="20" w:after="20" w:line="240" w:lineRule="auto"/>
              <w:ind w:firstLine="0"/>
              <w:jc w:val="left"/>
            </w:pPr>
            <w:r/>
            <w:r>
              <w:rPr>
                <w:rFonts w:ascii="Times New Roman" w:hAnsi="Times New Roman"/>
                <w:b w:val="0"/>
                <w:i w:val="0"/>
                <w:color w:val="000000"/>
                <w:sz w:val="22"/>
              </w:rPr>
              <w:t>Transversal multicêntrico, doentes crónicos (658)</w:t>
            </w:r>
          </w:p>
        </w:tc>
        <w:tc>
          <w:tcPr>
            <w:tcW w:type="dxa" w:w="3515"/>
            <w:tcBorders>
              <w:top w:val="nil"/>
              <w:left w:val="nil"/>
              <w:right w:val="nil"/>
              <w:insideH w:val="nil"/>
              <w:insideV w:val="nil"/>
              <w:bottom w:val="single" w:sz="8" w:color="000000"/>
            </w:tcBorders>
          </w:tcPr>
          <w:p>
            <w:pPr>
              <w:spacing w:before="20" w:after="20" w:line="240" w:lineRule="auto"/>
              <w:ind w:firstLine="0"/>
              <w:jc w:val="left"/>
            </w:pPr>
            <w:r/>
            <w:r>
              <w:rPr>
                <w:rFonts w:ascii="Times New Roman" w:hAnsi="Times New Roman"/>
                <w:b w:val="0"/>
                <w:i w:val="0"/>
                <w:color w:val="000000"/>
                <w:sz w:val="22"/>
              </w:rPr>
              <w:t>48,6% usavam plantas e 96% não o revelaram; interacções potenciais em 31,3% dos utilizadores; concordância quase nula entre quatro bases de dados.</w:t>
            </w:r>
          </w:p>
        </w:tc>
      </w:tr>
    </w:tbl>
    <w:p>
      <w:pPr>
        <w:spacing w:before="60" w:after="200" w:line="240" w:lineRule="auto"/>
        <w:jc w:val="left"/>
      </w:pPr>
      <w:r>
        <w:rPr>
          <w:rFonts w:ascii="Times New Roman" w:hAnsi="Times New Roman"/>
          <w:b w:val="0"/>
          <w:i w:val="0"/>
          <w:color w:val="000000"/>
          <w:sz w:val="20"/>
        </w:rPr>
        <w:t>Fonte: Elaboração própria (2026), a partir das fontes citadas.</w:t>
      </w:r>
    </w:p>
    <w:p>
      <w:pPr>
        <w:jc w:val="both"/>
      </w:pPr>
      <w:r>
        <w:rPr>
          <w:rFonts w:ascii="Times New Roman" w:hAnsi="Times New Roman"/>
          <w:b w:val="0"/>
          <w:i w:val="0"/>
          <w:color w:val="000000"/>
          <w:sz w:val="24"/>
        </w:rPr>
        <w:t>Três padrões atravessam os estudos. O primeiro é a variação da frequência entre 8% e 68% consoante a população e a definição de uso, mais estreita quando o estudo separa o uso concomitante do uso em qualquer momento (6). O segundo é a não revelação, acima de dois terços dos utilizadores em todos os estudos que a mediram. O terceiro, do lado das interacções, é que os poucos estudos farmacocinéticos e farmacodinâmicos por classe de anti-hipertensor mostram efeitos consistentes de reforço, farmacocinético (19), farmacodinâmico (28) ou ambos (20): há, para algumas combinações comuns, mecanismo descrito e coerente com um risco real.</w:t>
      </w:r>
    </w:p>
    <w:p>
      <w:pPr>
        <w:jc w:val="both"/>
      </w:pPr>
      <w:r>
        <w:rPr>
          <w:rFonts w:ascii="Times New Roman" w:hAnsi="Times New Roman"/>
          <w:b w:val="0"/>
          <w:i w:val="0"/>
          <w:color w:val="000000"/>
          <w:sz w:val="24"/>
        </w:rPr>
        <w:t>As lacunas são igualmente claras. Nenhum dos estudos de prevalência do quadro refere a confirmação das espécies por exemplar de herbário antes da avaliação das interacções; só o do Malawi e o do Vietname classificaram o potencial de interacção ao nível do doente, e nenhum mediu a concordância entre avaliadores nem a proporção de doentes a quem o profissional perguntou pelo uso. Os estudos experimentais sobre interacções com anti-hipertensores existem, mas nenhum os liga a doentes reais de um serviço africano. Em Moçambique, a evidência sobre hipertensos limita-se ao estudo multinacional em cardiologia e aos dados hospitalares gerais sobre a carga da hipertensão; nenhum estudo mediu o uso concomitante em internados. O presente estudo preenche estas lacunas ao centrar-se numa só doença e num só serviço, com identificação botânica, classificação independente do potencial de interacção por classe de anti-hipertensor e análise da associação com a gravidade do internamento.</w:t>
      </w:r>
    </w:p>
    <w:p>
      <w:pPr>
        <w:pStyle w:val="Heading2"/>
      </w:pPr>
      <w:r>
        <w:rPr>
          <w:rFonts w:ascii="Times New Roman" w:hAnsi="Times New Roman"/>
          <w:b/>
          <w:i w:val="0"/>
          <w:color w:val="000000"/>
          <w:sz w:val="24"/>
        </w:rPr>
        <w:t>7.2. Esquema conceptual</w:t>
      </w:r>
    </w:p>
    <w:p>
      <w:pPr>
        <w:jc w:val="both"/>
      </w:pPr>
      <w:r>
        <w:rPr>
          <w:rFonts w:ascii="Times New Roman" w:hAnsi="Times New Roman"/>
          <w:b w:val="0"/>
          <w:i w:val="0"/>
          <w:color w:val="000000"/>
          <w:sz w:val="24"/>
        </w:rPr>
        <w:t>A Figura 1 representa as relações que o estudo analisa. Os factores sociodemográficos, clínicos e terapêuticos e a ruptura do anti-hipertensor podem influenciar o uso concomitante de plantas, caracterizado pelas espécies, fonte, custo e consulta a praticante; a comunicação com os profissionais determina se esse uso é conhecido e, portanto, se as combinações com potencial de interacção são detectadas. A gravidade da apresentação clínica que motivou o internamento é tratada como possível consequente do uso concomitante e como eixo da comparação do objectivo 5; a idade e o sexo são tratados como possíveis confundidores na análise multivariável.</w:t>
      </w:r>
    </w:p>
    <w:p>
      <w:pPr>
        <w:keepNext/>
        <w:spacing w:before="160" w:after="60" w:line="240" w:lineRule="auto"/>
        <w:jc w:val="left"/>
      </w:pPr>
      <w:r>
        <w:rPr>
          <w:rFonts w:ascii="Times New Roman" w:hAnsi="Times New Roman"/>
          <w:b w:val="0"/>
          <w:i w:val="0"/>
          <w:color w:val="000000"/>
          <w:sz w:val="20"/>
        </w:rPr>
        <w:t>Figura 1: Esquema conceptual do uso concomitante de plantas medicinais e anti-hipertensores em doentes internados</w:t>
      </w:r>
    </w:p>
    <w:p>
      <w:pPr>
        <w:spacing w:after="40" w:line="240" w:lineRule="auto"/>
        <w:jc w:val="center"/>
      </w:pPr>
      <w:r>
        <w:drawing>
          <wp:inline xmlns:a="http://schemas.openxmlformats.org/drawingml/2006/main" xmlns:pic="http://schemas.openxmlformats.org/drawingml/2006/picture">
            <wp:extent cx="5760000" cy="3998475"/>
            <wp:docPr id="1" name="Picture 1"/>
            <wp:cNvGraphicFramePr>
              <a:graphicFrameLocks noChangeAspect="1"/>
            </wp:cNvGraphicFramePr>
            <a:graphic>
              <a:graphicData uri="http://schemas.openxmlformats.org/drawingml/2006/picture">
                <pic:pic>
                  <pic:nvPicPr>
                    <pic:cNvPr id="0" name="tema_33_esquema.png"/>
                    <pic:cNvPicPr/>
                  </pic:nvPicPr>
                  <pic:blipFill>
                    <a:blip r:embed="rId11"/>
                    <a:stretch>
                      <a:fillRect/>
                    </a:stretch>
                  </pic:blipFill>
                  <pic:spPr>
                    <a:xfrm>
                      <a:off x="0" y="0"/>
                      <a:ext cx="5760000" cy="3998475"/>
                    </a:xfrm>
                    <a:prstGeom prst="rect"/>
                  </pic:spPr>
                </pic:pic>
              </a:graphicData>
            </a:graphic>
          </wp:inline>
        </w:drawing>
      </w:r>
    </w:p>
    <w:p>
      <w:pPr>
        <w:spacing w:before="60" w:after="200" w:line="240" w:lineRule="auto"/>
        <w:jc w:val="left"/>
      </w:pPr>
      <w:r>
        <w:rPr>
          <w:rFonts w:ascii="Times New Roman" w:hAnsi="Times New Roman"/>
          <w:b w:val="0"/>
          <w:i w:val="0"/>
          <w:color w:val="000000"/>
          <w:sz w:val="20"/>
        </w:rPr>
        <w:t>Fonte: Elaboração própria (2026).</w:t>
      </w:r>
    </w:p>
    <w:p>
      <w:pPr>
        <w:pStyle w:val="Heading1"/>
      </w:pPr>
      <w:r>
        <w:rPr>
          <w:rFonts w:ascii="Times New Roman" w:hAnsi="Times New Roman"/>
          <w:b/>
          <w:i w:val="0"/>
          <w:color w:val="000000"/>
          <w:sz w:val="26"/>
        </w:rPr>
        <w:t>8. METODOLOGIA</w:t>
      </w:r>
    </w:p>
    <w:p>
      <w:pPr>
        <w:pStyle w:val="Heading2"/>
      </w:pPr>
      <w:r>
        <w:rPr>
          <w:rFonts w:ascii="Times New Roman" w:hAnsi="Times New Roman"/>
          <w:b/>
          <w:i w:val="0"/>
          <w:color w:val="000000"/>
          <w:sz w:val="24"/>
        </w:rPr>
        <w:t>8.1. Tipo e desenho do estudo</w:t>
      </w:r>
    </w:p>
    <w:p>
      <w:pPr>
        <w:jc w:val="both"/>
      </w:pPr>
      <w:r>
        <w:rPr>
          <w:rFonts w:ascii="Times New Roman" w:hAnsi="Times New Roman"/>
          <w:b w:val="0"/>
          <w:i w:val="0"/>
          <w:color w:val="000000"/>
          <w:sz w:val="24"/>
        </w:rPr>
        <w:t>Trata-se de um estudo observacional, transversal, descritivo e analítico, de base hospitalar e abordagem quantitativa, com uma componente etnofarmacológica. Os dados do doente são recolhidos num único momento durante o internamento, por entrevista estruturada, e completados pela verificação do processo clínico; as plantas mais citadas são depois identificadas por botânicos, e cada combinação entre uma espécie identificada e um anti-hipertensor em uso é classificada quanto ao potencial de interacção farmacocinética ou farmacodinâmica descrito na literatura. O relato seguirá a declaração Strengthening the Reporting of Observational Studies in Epidemiology (STROBE) (39) e, na componente etnofarmacológica, a lista de verificação ConSEFS (36).</w:t>
      </w:r>
    </w:p>
    <w:p>
      <w:pPr>
        <w:pStyle w:val="Heading2"/>
      </w:pPr>
      <w:r>
        <w:rPr>
          <w:rFonts w:ascii="Times New Roman" w:hAnsi="Times New Roman"/>
          <w:b/>
          <w:i w:val="0"/>
          <w:color w:val="000000"/>
          <w:sz w:val="24"/>
        </w:rPr>
        <w:t>8.2. Local e período do estudo</w:t>
      </w:r>
    </w:p>
    <w:p>
      <w:pPr>
        <w:jc w:val="both"/>
      </w:pPr>
      <w:r>
        <w:rPr>
          <w:rFonts w:ascii="Times New Roman" w:hAnsi="Times New Roman"/>
          <w:b w:val="0"/>
          <w:i w:val="0"/>
          <w:color w:val="000000"/>
          <w:sz w:val="24"/>
        </w:rPr>
        <w:t>O estudo decorre nos Departamentos de Medicina I e II do HCN, hospital de referência central para toda a província de Nampula, que internam adultos com doenças médicas gerais, incluindo a hipertensão arterial e as suas complicações [confirmar junto do Departamento de Medicina I/II e da Direcção Clínica do HCN o número aproximado de internamentos por hipertensão arterial, como diagnóstico principal ou como comorbilidade relevante, no último ano]. O internamento estuda o doente já hospitalizado e presumivelmente mais grave (5), em que a interacção com o anti-hipertensor tem consequências mais imediatas.</w:t>
      </w:r>
    </w:p>
    <w:p>
      <w:pPr>
        <w:jc w:val="both"/>
      </w:pPr>
      <w:r>
        <w:rPr>
          <w:rFonts w:ascii="Times New Roman" w:hAnsi="Times New Roman"/>
          <w:b w:val="0"/>
          <w:i w:val="0"/>
          <w:color w:val="000000"/>
          <w:sz w:val="24"/>
        </w:rPr>
        <w:t>A recolha de dados junto dos doentes internados decorre de 1 de Março a 30 de Junho de 2027 (quatro meses), com recrutamento consecutivo e exaustivo de todos os doentes elegíveis admitidos no período. Se o tamanho calculado não for atingido a esse ritmo, a recolha prolonga-se até 31 de Agosto de 2027. A recolha e a identificação dos exemplares botânicos decorrem de Abril a Agosto de 2027, e a classificação do potencial de interacção de Maio a Agosto. O estudo decorre de Outubro de 2026 a Setembro de 2027, e nenhuma actividade com participantes começa antes da aprovação do comité de bioética e das autorizações institucionais.</w:t>
      </w:r>
    </w:p>
    <w:p>
      <w:pPr>
        <w:pStyle w:val="Heading2"/>
      </w:pPr>
      <w:r>
        <w:rPr>
          <w:rFonts w:ascii="Times New Roman" w:hAnsi="Times New Roman"/>
          <w:b/>
          <w:i w:val="0"/>
          <w:color w:val="000000"/>
          <w:sz w:val="24"/>
        </w:rPr>
        <w:t>8.3. População e unidade de análise</w:t>
      </w:r>
    </w:p>
    <w:p>
      <w:pPr>
        <w:jc w:val="both"/>
      </w:pPr>
      <w:r>
        <w:rPr>
          <w:rFonts w:ascii="Times New Roman" w:hAnsi="Times New Roman"/>
          <w:b w:val="0"/>
          <w:i w:val="0"/>
          <w:color w:val="000000"/>
          <w:sz w:val="24"/>
        </w:rPr>
        <w:t>A população-alvo é constituída pelos adultos com hipertensão arterial internados nos Departamentos de Medicina I e II do HCN. A população acessível são os adultos admitidos nestes departamentos durante o período de recolha, com diagnóstico de admissão de hipertensão arterial ou de uma complicação atribuída à hipertensão, que cumprem os critérios de elegibilidade.</w:t>
      </w:r>
    </w:p>
    <w:p>
      <w:pPr>
        <w:jc w:val="both"/>
      </w:pPr>
      <w:r>
        <w:rPr>
          <w:rFonts w:ascii="Times New Roman" w:hAnsi="Times New Roman"/>
          <w:b w:val="0"/>
          <w:i w:val="0"/>
          <w:color w:val="000000"/>
          <w:sz w:val="24"/>
        </w:rPr>
        <w:t>A unidade de análise principal é o doente internado, incluído uma única vez, o que se verifica por uma lista de controlo com o número do processo dos já entrevistados; uma eventual readmissão só volta a ser entrevistada se corresponder a um episódio clinicamente distinto. Os doentes com outra doença crónica associada, por exemplo diabetes, são incluídos desde que a hipertensão seja diagnóstico de admissão ou comorbilidade relevante; a comorbilidade é registada. Para o objectivo específico 4, a unidade de análise secundária é a combinação entre uma espécie e um anti-hipertensor; como um doente pode contribuir com várias combinações, os resultados são apresentados ao nível da combinação e ao nível do doente.</w:t>
      </w:r>
    </w:p>
    <w:p>
      <w:pPr>
        <w:pStyle w:val="Heading2"/>
      </w:pPr>
      <w:r>
        <w:rPr>
          <w:rFonts w:ascii="Times New Roman" w:hAnsi="Times New Roman"/>
          <w:b/>
          <w:i w:val="0"/>
          <w:color w:val="000000"/>
          <w:sz w:val="24"/>
        </w:rPr>
        <w:t>8.4. Amostra e cálculo do tamanho da amostra</w:t>
      </w:r>
    </w:p>
    <w:p>
      <w:pPr>
        <w:jc w:val="both"/>
      </w:pPr>
      <w:r>
        <w:rPr>
          <w:rFonts w:ascii="Times New Roman" w:hAnsi="Times New Roman"/>
          <w:b w:val="0"/>
          <w:i w:val="0"/>
          <w:color w:val="000000"/>
          <w:sz w:val="24"/>
        </w:rPr>
        <w:t>O tamanho mínimo da amostra para o objectivo específico 1, a proporção de doentes internados com uso concomitante nos 30 dias anteriores à admissão, foi calculado pela fórmula para estimar uma proporção:</w:t>
      </w:r>
    </w:p>
    <w:p>
      <w:pPr>
        <w:spacing w:before="120" w:after="120"/>
        <w:jc w:val="center"/>
      </w:pPr>
      <w:r>
        <w:rPr>
          <w:rFonts w:ascii="Times New Roman" w:hAnsi="Times New Roman"/>
          <w:b w:val="0"/>
          <w:i/>
          <w:color w:val="000000"/>
          <w:sz w:val="24"/>
        </w:rPr>
        <w:t>n</w:t>
      </w:r>
      <w:r>
        <w:rPr>
          <w:rFonts w:ascii="Times New Roman" w:hAnsi="Times New Roman"/>
          <w:b w:val="0"/>
          <w:i/>
          <w:color w:val="000000"/>
          <w:sz w:val="24"/>
          <w:vertAlign w:val="subscript"/>
        </w:rPr>
        <w:t>0</w:t>
      </w:r>
      <w:r>
        <w:rPr>
          <w:rFonts w:ascii="Times New Roman" w:hAnsi="Times New Roman"/>
          <w:b w:val="0"/>
          <w:i/>
          <w:color w:val="000000"/>
          <w:sz w:val="24"/>
        </w:rPr>
        <w:t xml:space="preserve"> = Z</w:t>
      </w:r>
      <w:r>
        <w:rPr>
          <w:rFonts w:ascii="Times New Roman" w:hAnsi="Times New Roman"/>
          <w:b w:val="0"/>
          <w:i/>
          <w:color w:val="000000"/>
          <w:sz w:val="24"/>
          <w:vertAlign w:val="superscript"/>
        </w:rPr>
        <w:t>2</w:t>
      </w:r>
      <w:r>
        <w:rPr>
          <w:rFonts w:ascii="Times New Roman" w:hAnsi="Times New Roman"/>
          <w:b w:val="0"/>
          <w:i/>
          <w:color w:val="000000"/>
          <w:sz w:val="24"/>
        </w:rPr>
        <w:t xml:space="preserve"> × p × (1 - p) / d</w:t>
      </w:r>
      <w:r>
        <w:rPr>
          <w:rFonts w:ascii="Times New Roman" w:hAnsi="Times New Roman"/>
          <w:b w:val="0"/>
          <w:i/>
          <w:color w:val="000000"/>
          <w:sz w:val="24"/>
          <w:vertAlign w:val="superscript"/>
        </w:rPr>
        <w:t>2</w:t>
      </w:r>
    </w:p>
    <w:p>
      <w:pPr>
        <w:jc w:val="both"/>
      </w:pPr>
      <w:r>
        <w:rPr>
          <w:rFonts w:ascii="Times New Roman" w:hAnsi="Times New Roman"/>
          <w:b w:val="0"/>
          <w:i w:val="0"/>
          <w:color w:val="000000"/>
          <w:sz w:val="24"/>
        </w:rPr>
        <w:t>Em que Z = 1,96 corresponde a um nível de confiança de 95%; d = 0,05 é a margem de erro absoluta; e p = 0,22 é a proporção esperada. Este valor corresponde ao uso simultâneo de plantas com anti-hipertensores entre hipertensos internados na Tanzânia (22,1%), a definição e o contexto mais próximos deste estudo (6), e é próximo dos 24% de uso de medicina tradicional entre hipertensos de 12 países africanos, incluindo Moçambique, seguidos em ambulatório de cardiologia (5), o que reforça a estimativa. Substituindo:</w:t>
      </w:r>
    </w:p>
    <w:p>
      <w:pPr>
        <w:spacing w:before="120" w:after="120"/>
        <w:jc w:val="center"/>
      </w:pPr>
      <w:r>
        <w:rPr>
          <w:rFonts w:ascii="Times New Roman" w:hAnsi="Times New Roman"/>
          <w:b w:val="0"/>
          <w:i/>
          <w:color w:val="000000"/>
          <w:sz w:val="24"/>
        </w:rPr>
        <w:t>n</w:t>
      </w:r>
      <w:r>
        <w:rPr>
          <w:rFonts w:ascii="Times New Roman" w:hAnsi="Times New Roman"/>
          <w:b w:val="0"/>
          <w:i/>
          <w:color w:val="000000"/>
          <w:sz w:val="24"/>
          <w:vertAlign w:val="subscript"/>
        </w:rPr>
        <w:t>0</w:t>
      </w:r>
      <w:r>
        <w:rPr>
          <w:rFonts w:ascii="Times New Roman" w:hAnsi="Times New Roman"/>
          <w:b w:val="0"/>
          <w:i/>
          <w:color w:val="000000"/>
          <w:sz w:val="24"/>
        </w:rPr>
        <w:t xml:space="preserve"> = 1,96</w:t>
      </w:r>
      <w:r>
        <w:rPr>
          <w:rFonts w:ascii="Times New Roman" w:hAnsi="Times New Roman"/>
          <w:b w:val="0"/>
          <w:i/>
          <w:color w:val="000000"/>
          <w:sz w:val="24"/>
          <w:vertAlign w:val="superscript"/>
        </w:rPr>
        <w:t>2</w:t>
      </w:r>
      <w:r>
        <w:rPr>
          <w:rFonts w:ascii="Times New Roman" w:hAnsi="Times New Roman"/>
          <w:b w:val="0"/>
          <w:i/>
          <w:color w:val="000000"/>
          <w:sz w:val="24"/>
        </w:rPr>
        <w:t xml:space="preserve"> × 0,22 × 0,78 / 0,05</w:t>
      </w:r>
      <w:r>
        <w:rPr>
          <w:rFonts w:ascii="Times New Roman" w:hAnsi="Times New Roman"/>
          <w:b w:val="0"/>
          <w:i/>
          <w:color w:val="000000"/>
          <w:sz w:val="24"/>
          <w:vertAlign w:val="superscript"/>
        </w:rPr>
        <w:t>2</w:t>
      </w:r>
      <w:r>
        <w:rPr>
          <w:rFonts w:ascii="Times New Roman" w:hAnsi="Times New Roman"/>
          <w:b w:val="0"/>
          <w:i/>
          <w:color w:val="000000"/>
          <w:sz w:val="24"/>
        </w:rPr>
        <w:t xml:space="preserve"> = 263,7, arredondado para 264</w:t>
      </w:r>
    </w:p>
    <w:p>
      <w:pPr>
        <w:jc w:val="both"/>
      </w:pPr>
      <w:r>
        <w:rPr>
          <w:rFonts w:ascii="Times New Roman" w:hAnsi="Times New Roman"/>
          <w:b w:val="0"/>
          <w:i w:val="0"/>
          <w:color w:val="000000"/>
          <w:sz w:val="24"/>
        </w:rPr>
        <w:t>A população de doentes hipertensos internados nos Departamentos de Medicina I e II do HCN durante um período de recolha de poucos meses é necessariamente pequena, provavelmente algumas centenas e não milhares [confirmar junto do Departamento de Medicina I/II e da Direcção Clínica do HCN o número de internamentos por hipertensão ou complicação hipertensiva no último ano], pelo que a correcção para população finita, n</w:t>
      </w:r>
      <w:r>
        <w:rPr>
          <w:rFonts w:ascii="Times New Roman" w:hAnsi="Times New Roman"/>
          <w:b w:val="0"/>
          <w:i w:val="0"/>
          <w:color w:val="000000"/>
          <w:sz w:val="24"/>
          <w:vertAlign w:val="subscript"/>
        </w:rPr>
        <w:t>c</w:t>
      </w:r>
      <w:r>
        <w:rPr>
          <w:rFonts w:ascii="Times New Roman" w:hAnsi="Times New Roman"/>
          <w:b w:val="0"/>
          <w:i w:val="0"/>
          <w:color w:val="000000"/>
          <w:sz w:val="24"/>
        </w:rPr>
        <w:t xml:space="preserve"> = n</w:t>
      </w:r>
      <w:r>
        <w:rPr>
          <w:rFonts w:ascii="Times New Roman" w:hAnsi="Times New Roman"/>
          <w:b w:val="0"/>
          <w:i w:val="0"/>
          <w:color w:val="000000"/>
          <w:sz w:val="24"/>
          <w:vertAlign w:val="subscript"/>
        </w:rPr>
        <w:t>0</w:t>
      </w:r>
      <w:r>
        <w:rPr>
          <w:rFonts w:ascii="Times New Roman" w:hAnsi="Times New Roman"/>
          <w:b w:val="0"/>
          <w:i w:val="0"/>
          <w:color w:val="000000"/>
          <w:sz w:val="24"/>
        </w:rPr>
        <w:t xml:space="preserve"> / [1 + (n</w:t>
      </w:r>
      <w:r>
        <w:rPr>
          <w:rFonts w:ascii="Times New Roman" w:hAnsi="Times New Roman"/>
          <w:b w:val="0"/>
          <w:i w:val="0"/>
          <w:color w:val="000000"/>
          <w:sz w:val="24"/>
          <w:vertAlign w:val="subscript"/>
        </w:rPr>
        <w:t>0</w:t>
      </w:r>
      <w:r>
        <w:rPr>
          <w:rFonts w:ascii="Times New Roman" w:hAnsi="Times New Roman"/>
          <w:b w:val="0"/>
          <w:i w:val="0"/>
          <w:color w:val="000000"/>
          <w:sz w:val="24"/>
        </w:rPr>
        <w:t xml:space="preserve"> - 1) / N], tem efeito real. A Tabela 1 mostra o tamanho corrigido para vários valores de N, entendido como o número de doentes elegíveis esperado durante o período de recolha.</w:t>
      </w:r>
    </w:p>
    <w:p>
      <w:pPr>
        <w:keepNext/>
        <w:spacing w:before="160" w:after="60" w:line="240" w:lineRule="auto"/>
        <w:jc w:val="left"/>
      </w:pPr>
      <w:r>
        <w:rPr>
          <w:rFonts w:ascii="Times New Roman" w:hAnsi="Times New Roman"/>
          <w:b w:val="0"/>
          <w:i w:val="0"/>
          <w:color w:val="000000"/>
          <w:sz w:val="20"/>
        </w:rPr>
        <w:t>Tabela 1: Tamanho da amostra com correcção para população finita, segundo o número de doentes elegíveis esperado no período de recolha</w:t>
      </w:r>
    </w:p>
    <w:tbl>
      <w:tblPr>
        <w:jc w:val="center"/>
        <w:tblLayout w:type="fixed"/>
        <w:tblLook w:firstColumn="1" w:firstRow="1" w:lastColumn="0" w:lastRow="0" w:noHBand="0" w:noVBand="1" w:val="04A0"/>
        <w:tblW w:w="9072" w:type="dxa"/>
      </w:tblPr>
      <w:tblGrid>
        <w:gridCol w:w="4536"/>
        <w:gridCol w:w="4536"/>
      </w:tblGrid>
      <w:tr>
        <w:trPr>
          <w:tblHeader w:val="true"/>
          <w:cantSplit w:val="true"/>
        </w:trPr>
        <w:tc>
          <w:tcPr>
            <w:tcW w:type="dxa" w:w="4535"/>
            <w:tcBorders>
              <w:left w:val="nil"/>
              <w:right w:val="nil"/>
              <w:insideH w:val="nil"/>
              <w:insideV w:val="nil"/>
              <w:top w:val="single" w:sz="8" w:color="000000"/>
              <w:bottom w:val="single" w:sz="6" w:color="000000"/>
            </w:tcBorders>
          </w:tcPr>
          <w:p>
            <w:pPr>
              <w:spacing w:before="20" w:after="20" w:line="240" w:lineRule="auto"/>
              <w:ind w:firstLine="0"/>
              <w:jc w:val="center"/>
            </w:pPr>
            <w:r/>
            <w:r>
              <w:rPr>
                <w:rFonts w:ascii="Times New Roman" w:hAnsi="Times New Roman"/>
                <w:b/>
                <w:i w:val="0"/>
                <w:color w:val="000000"/>
                <w:sz w:val="22"/>
              </w:rPr>
              <w:t>Doentes elegíveis esperados (N)</w:t>
            </w:r>
          </w:p>
        </w:tc>
        <w:tc>
          <w:tcPr>
            <w:tcW w:type="dxa" w:w="4535"/>
            <w:tcBorders>
              <w:left w:val="nil"/>
              <w:right w:val="nil"/>
              <w:insideH w:val="nil"/>
              <w:insideV w:val="nil"/>
              <w:top w:val="single" w:sz="8" w:color="000000"/>
              <w:bottom w:val="single" w:sz="6" w:color="000000"/>
            </w:tcBorders>
          </w:tcPr>
          <w:p>
            <w:pPr>
              <w:spacing w:before="20" w:after="20" w:line="240" w:lineRule="auto"/>
              <w:ind w:firstLine="0"/>
              <w:jc w:val="center"/>
            </w:pPr>
            <w:r/>
            <w:r>
              <w:rPr>
                <w:rFonts w:ascii="Times New Roman" w:hAnsi="Times New Roman"/>
                <w:b/>
                <w:i w:val="0"/>
                <w:color w:val="000000"/>
                <w:sz w:val="22"/>
              </w:rPr>
              <w:t>Amostra corrigida (n</w:t>
            </w:r>
            <w:r>
              <w:rPr>
                <w:rFonts w:ascii="Times New Roman" w:hAnsi="Times New Roman"/>
                <w:b/>
                <w:i w:val="0"/>
                <w:color w:val="000000"/>
                <w:sz w:val="22"/>
                <w:vertAlign w:val="subscript"/>
              </w:rPr>
              <w:t>c</w:t>
            </w:r>
            <w:r>
              <w:rPr>
                <w:rFonts w:ascii="Times New Roman" w:hAnsi="Times New Roman"/>
                <w:b/>
                <w:i w:val="0"/>
                <w:color w:val="000000"/>
                <w:sz w:val="22"/>
              </w:rPr>
              <w:t>)</w:t>
            </w:r>
          </w:p>
        </w:tc>
      </w:tr>
      <w:tr>
        <w:trPr>
          <w:cantSplit w:val="true"/>
        </w:trPr>
        <w:tc>
          <w:tcPr>
            <w:tcW w:type="dxa" w:w="4535"/>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150</w:t>
            </w:r>
          </w:p>
        </w:tc>
        <w:tc>
          <w:tcPr>
            <w:tcW w:type="dxa" w:w="4535"/>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96</w:t>
            </w:r>
          </w:p>
        </w:tc>
      </w:tr>
      <w:tr>
        <w:trPr>
          <w:cantSplit w:val="true"/>
        </w:trPr>
        <w:tc>
          <w:tcPr>
            <w:tcW w:type="dxa" w:w="4535"/>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200</w:t>
            </w:r>
          </w:p>
        </w:tc>
        <w:tc>
          <w:tcPr>
            <w:tcW w:type="dxa" w:w="4535"/>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115</w:t>
            </w:r>
          </w:p>
        </w:tc>
      </w:tr>
      <w:tr>
        <w:trPr>
          <w:cantSplit w:val="true"/>
        </w:trPr>
        <w:tc>
          <w:tcPr>
            <w:tcW w:type="dxa" w:w="4535"/>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250</w:t>
            </w:r>
          </w:p>
        </w:tc>
        <w:tc>
          <w:tcPr>
            <w:tcW w:type="dxa" w:w="4535"/>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129</w:t>
            </w:r>
          </w:p>
        </w:tc>
      </w:tr>
      <w:tr>
        <w:trPr>
          <w:cantSplit w:val="true"/>
        </w:trPr>
        <w:tc>
          <w:tcPr>
            <w:tcW w:type="dxa" w:w="4535"/>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300</w:t>
            </w:r>
          </w:p>
        </w:tc>
        <w:tc>
          <w:tcPr>
            <w:tcW w:type="dxa" w:w="4535"/>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141</w:t>
            </w:r>
          </w:p>
        </w:tc>
      </w:tr>
      <w:tr>
        <w:trPr>
          <w:cantSplit w:val="true"/>
        </w:trPr>
        <w:tc>
          <w:tcPr>
            <w:tcW w:type="dxa" w:w="4535"/>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400</w:t>
            </w:r>
          </w:p>
        </w:tc>
        <w:tc>
          <w:tcPr>
            <w:tcW w:type="dxa" w:w="4535"/>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160</w:t>
            </w:r>
          </w:p>
        </w:tc>
      </w:tr>
      <w:tr>
        <w:trPr>
          <w:cantSplit w:val="true"/>
        </w:trPr>
        <w:tc>
          <w:tcPr>
            <w:tcW w:type="dxa" w:w="4535"/>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500</w:t>
            </w:r>
          </w:p>
        </w:tc>
        <w:tc>
          <w:tcPr>
            <w:tcW w:type="dxa" w:w="4535"/>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174</w:t>
            </w:r>
          </w:p>
        </w:tc>
      </w:tr>
      <w:tr>
        <w:trPr>
          <w:cantSplit w:val="true"/>
        </w:trPr>
        <w:tc>
          <w:tcPr>
            <w:tcW w:type="dxa" w:w="4535"/>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600</w:t>
            </w:r>
          </w:p>
        </w:tc>
        <w:tc>
          <w:tcPr>
            <w:tcW w:type="dxa" w:w="4535"/>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184</w:t>
            </w:r>
          </w:p>
        </w:tc>
      </w:tr>
      <w:tr>
        <w:trPr>
          <w:cantSplit w:val="true"/>
        </w:trPr>
        <w:tc>
          <w:tcPr>
            <w:tcW w:type="dxa" w:w="4535"/>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800</w:t>
            </w:r>
          </w:p>
        </w:tc>
        <w:tc>
          <w:tcPr>
            <w:tcW w:type="dxa" w:w="4535"/>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199</w:t>
            </w:r>
          </w:p>
        </w:tc>
      </w:tr>
      <w:tr>
        <w:trPr>
          <w:cantSplit w:val="true"/>
        </w:trPr>
        <w:tc>
          <w:tcPr>
            <w:tcW w:type="dxa" w:w="4535"/>
            <w:tcBorders>
              <w:top w:val="nil"/>
              <w:left w:val="nil"/>
              <w:right w:val="nil"/>
              <w:insideH w:val="nil"/>
              <w:insideV w:val="nil"/>
              <w:bottom w:val="single" w:sz="8" w:color="000000"/>
            </w:tcBorders>
          </w:tcPr>
          <w:p>
            <w:pPr>
              <w:spacing w:before="20" w:after="20" w:line="240" w:lineRule="auto"/>
              <w:ind w:firstLine="0"/>
              <w:jc w:val="center"/>
            </w:pPr>
            <w:r/>
            <w:r>
              <w:rPr>
                <w:rFonts w:ascii="Times New Roman" w:hAnsi="Times New Roman"/>
                <w:b w:val="0"/>
                <w:i w:val="0"/>
                <w:color w:val="000000"/>
                <w:sz w:val="22"/>
              </w:rPr>
              <w:t>1.000</w:t>
            </w:r>
          </w:p>
        </w:tc>
        <w:tc>
          <w:tcPr>
            <w:tcW w:type="dxa" w:w="4535"/>
            <w:tcBorders>
              <w:top w:val="nil"/>
              <w:left w:val="nil"/>
              <w:right w:val="nil"/>
              <w:insideH w:val="nil"/>
              <w:insideV w:val="nil"/>
              <w:bottom w:val="single" w:sz="8" w:color="000000"/>
            </w:tcBorders>
          </w:tcPr>
          <w:p>
            <w:pPr>
              <w:spacing w:before="20" w:after="20" w:line="240" w:lineRule="auto"/>
              <w:ind w:firstLine="0"/>
              <w:jc w:val="center"/>
            </w:pPr>
            <w:r/>
            <w:r>
              <w:rPr>
                <w:rFonts w:ascii="Times New Roman" w:hAnsi="Times New Roman"/>
                <w:b w:val="0"/>
                <w:i w:val="0"/>
                <w:color w:val="000000"/>
                <w:sz w:val="22"/>
              </w:rPr>
              <w:t>210</w:t>
            </w:r>
          </w:p>
        </w:tc>
      </w:tr>
    </w:tbl>
    <w:p>
      <w:pPr>
        <w:spacing w:before="60" w:after="200" w:line="240" w:lineRule="auto"/>
        <w:jc w:val="left"/>
      </w:pPr>
      <w:r>
        <w:rPr>
          <w:rFonts w:ascii="Times New Roman" w:hAnsi="Times New Roman"/>
          <w:b w:val="0"/>
          <w:i w:val="0"/>
          <w:color w:val="000000"/>
          <w:sz w:val="20"/>
        </w:rPr>
        <w:t>Fonte: Elaboração própria (2026). Z = 1,96; p = 0,22; d = 0,05; n</w:t>
      </w:r>
      <w:r>
        <w:rPr>
          <w:rFonts w:ascii="Times New Roman" w:hAnsi="Times New Roman"/>
          <w:b w:val="0"/>
          <w:i w:val="0"/>
          <w:color w:val="000000"/>
          <w:sz w:val="20"/>
          <w:vertAlign w:val="subscript"/>
        </w:rPr>
        <w:t>c</w:t>
      </w:r>
      <w:r>
        <w:rPr>
          <w:rFonts w:ascii="Times New Roman" w:hAnsi="Times New Roman"/>
          <w:b w:val="0"/>
          <w:i w:val="0"/>
          <w:color w:val="000000"/>
          <w:sz w:val="20"/>
        </w:rPr>
        <w:t xml:space="preserve"> = n</w:t>
      </w:r>
      <w:r>
        <w:rPr>
          <w:rFonts w:ascii="Times New Roman" w:hAnsi="Times New Roman"/>
          <w:b w:val="0"/>
          <w:i w:val="0"/>
          <w:color w:val="000000"/>
          <w:sz w:val="20"/>
          <w:vertAlign w:val="subscript"/>
        </w:rPr>
        <w:t>0</w:t>
      </w:r>
      <w:r>
        <w:rPr>
          <w:rFonts w:ascii="Times New Roman" w:hAnsi="Times New Roman"/>
          <w:b w:val="0"/>
          <w:i w:val="0"/>
          <w:color w:val="000000"/>
          <w:sz w:val="20"/>
        </w:rPr>
        <w:t xml:space="preserve"> / [1 + (n</w:t>
      </w:r>
      <w:r>
        <w:rPr>
          <w:rFonts w:ascii="Times New Roman" w:hAnsi="Times New Roman"/>
          <w:b w:val="0"/>
          <w:i w:val="0"/>
          <w:color w:val="000000"/>
          <w:sz w:val="20"/>
          <w:vertAlign w:val="subscript"/>
        </w:rPr>
        <w:t>0</w:t>
      </w:r>
      <w:r>
        <w:rPr>
          <w:rFonts w:ascii="Times New Roman" w:hAnsi="Times New Roman"/>
          <w:b w:val="0"/>
          <w:i w:val="0"/>
          <w:color w:val="000000"/>
          <w:sz w:val="20"/>
        </w:rPr>
        <w:t xml:space="preserve"> - 1) / N].</w:t>
      </w:r>
    </w:p>
    <w:p>
      <w:pPr>
        <w:jc w:val="both"/>
      </w:pPr>
      <w:r>
        <w:rPr>
          <w:rFonts w:ascii="Times New Roman" w:hAnsi="Times New Roman"/>
          <w:b w:val="0"/>
          <w:i w:val="0"/>
          <w:color w:val="000000"/>
          <w:sz w:val="24"/>
        </w:rPr>
        <w:t>Adopta-se como cenário central de trabalho N = 600 doentes elegíveis no período de recolha, uma estimativa prudente para um serviço de referência central que serve toda a província, sujeita a confirmação; com este cenário, n</w:t>
      </w:r>
      <w:r>
        <w:rPr>
          <w:rFonts w:ascii="Times New Roman" w:hAnsi="Times New Roman"/>
          <w:b w:val="0"/>
          <w:i w:val="0"/>
          <w:color w:val="000000"/>
          <w:sz w:val="24"/>
          <w:vertAlign w:val="subscript"/>
        </w:rPr>
        <w:t>c</w:t>
      </w:r>
      <w:r>
        <w:rPr>
          <w:rFonts w:ascii="Times New Roman" w:hAnsi="Times New Roman"/>
          <w:b w:val="0"/>
          <w:i w:val="0"/>
          <w:color w:val="000000"/>
          <w:sz w:val="24"/>
        </w:rPr>
        <w:t xml:space="preserve"> = 184. Não se aplica efeito de desenho por conglomerados, porque os dois departamentos são recenseados na totalidade, sem amostragem entre vários. Acrescenta-se uma margem de 10% para recusas e questionários incompletos:</w:t>
      </w:r>
    </w:p>
    <w:p>
      <w:pPr>
        <w:spacing w:before="120" w:after="120"/>
        <w:jc w:val="center"/>
      </w:pPr>
      <w:r>
        <w:rPr>
          <w:rFonts w:ascii="Times New Roman" w:hAnsi="Times New Roman"/>
          <w:b w:val="0"/>
          <w:i/>
          <w:color w:val="000000"/>
          <w:sz w:val="24"/>
        </w:rPr>
        <w:t>n</w:t>
      </w:r>
      <w:r>
        <w:rPr>
          <w:rFonts w:ascii="Times New Roman" w:hAnsi="Times New Roman"/>
          <w:b w:val="0"/>
          <w:i/>
          <w:color w:val="000000"/>
          <w:sz w:val="24"/>
          <w:vertAlign w:val="subscript"/>
        </w:rPr>
        <w:t>f</w:t>
      </w:r>
      <w:r>
        <w:rPr>
          <w:rFonts w:ascii="Times New Roman" w:hAnsi="Times New Roman"/>
          <w:b w:val="0"/>
          <w:i/>
          <w:color w:val="000000"/>
          <w:sz w:val="24"/>
        </w:rPr>
        <w:t xml:space="preserve"> = 184 / (1 - 0,10) = 204,4, arredondado para 205</w:t>
      </w:r>
    </w:p>
    <w:p>
      <w:pPr>
        <w:jc w:val="both"/>
      </w:pPr>
      <w:r>
        <w:rPr>
          <w:rFonts w:ascii="Times New Roman" w:hAnsi="Times New Roman"/>
          <w:b w:val="0"/>
          <w:i w:val="0"/>
          <w:color w:val="000000"/>
          <w:sz w:val="24"/>
        </w:rPr>
        <w:t>O tamanho-alvo é, assim, 205 doentes internados; a taxa de recrutamento nas primeiras semanas indicará se o cenário real se aproxima do central. Com 205 doentes e uma proporção esperada de 22%, esperam-se cerca de 45 casos de uso concomitante, o que, pela regra de pelo menos 10 eventos por parâmetro (40), limita a regressão de Poisson do objectivo 5 a cerca de quatro parâmetros; a limitação é assumida e justificada na secção de processamento e análise.</w:t>
      </w:r>
    </w:p>
    <w:p>
      <w:pPr>
        <w:jc w:val="both"/>
      </w:pPr>
      <w:r>
        <w:rPr>
          <w:rFonts w:ascii="Times New Roman" w:hAnsi="Times New Roman"/>
          <w:b w:val="0"/>
          <w:i w:val="0"/>
          <w:color w:val="000000"/>
          <w:sz w:val="24"/>
        </w:rPr>
        <w:t>Para o objectivo específico 5, verificou-se o poder para comparar a proporção de uso concomitante entre os doentes internados por hipertensão sem complicação confirmada e os internados por uma complicação hipertensiva com lesão de órgão-alvo, com a fórmula para duas proporções:</w:t>
      </w:r>
    </w:p>
    <w:p>
      <w:pPr>
        <w:spacing w:before="120" w:after="120"/>
        <w:jc w:val="center"/>
      </w:pPr>
      <w:r>
        <w:rPr>
          <w:rFonts w:ascii="Times New Roman" w:hAnsi="Times New Roman"/>
          <w:b w:val="0"/>
          <w:i/>
          <w:color w:val="000000"/>
          <w:sz w:val="24"/>
        </w:rPr>
        <w:t>n = [Z</w:t>
      </w:r>
      <w:r>
        <w:rPr>
          <w:rFonts w:ascii="Times New Roman" w:hAnsi="Times New Roman"/>
          <w:b w:val="0"/>
          <w:i/>
          <w:color w:val="000000"/>
          <w:sz w:val="24"/>
          <w:vertAlign w:val="subscript"/>
        </w:rPr>
        <w:t>1-α/2</w:t>
      </w:r>
      <w:r>
        <w:rPr>
          <w:rFonts w:ascii="Times New Roman" w:hAnsi="Times New Roman"/>
          <w:b w:val="0"/>
          <w:i/>
          <w:color w:val="000000"/>
          <w:sz w:val="24"/>
        </w:rPr>
        <w:t xml:space="preserve"> × √(2 × p</w:t>
      </w:r>
      <w:r>
        <w:rPr>
          <w:rFonts w:ascii="Times New Roman" w:hAnsi="Times New Roman"/>
          <w:b w:val="0"/>
          <w:i/>
          <w:color w:val="000000"/>
          <w:sz w:val="24"/>
          <w:vertAlign w:val="subscript"/>
        </w:rPr>
        <w:t>m</w:t>
      </w:r>
      <w:r>
        <w:rPr>
          <w:rFonts w:ascii="Times New Roman" w:hAnsi="Times New Roman"/>
          <w:b w:val="0"/>
          <w:i/>
          <w:color w:val="000000"/>
          <w:sz w:val="24"/>
        </w:rPr>
        <w:t xml:space="preserve"> × (1 - p</w:t>
      </w:r>
      <w:r>
        <w:rPr>
          <w:rFonts w:ascii="Times New Roman" w:hAnsi="Times New Roman"/>
          <w:b w:val="0"/>
          <w:i/>
          <w:color w:val="000000"/>
          <w:sz w:val="24"/>
          <w:vertAlign w:val="subscript"/>
        </w:rPr>
        <w:t>m</w:t>
      </w:r>
      <w:r>
        <w:rPr>
          <w:rFonts w:ascii="Times New Roman" w:hAnsi="Times New Roman"/>
          <w:b w:val="0"/>
          <w:i/>
          <w:color w:val="000000"/>
          <w:sz w:val="24"/>
        </w:rPr>
        <w:t>)) + Z</w:t>
      </w:r>
      <w:r>
        <w:rPr>
          <w:rFonts w:ascii="Times New Roman" w:hAnsi="Times New Roman"/>
          <w:b w:val="0"/>
          <w:i/>
          <w:color w:val="000000"/>
          <w:sz w:val="24"/>
          <w:vertAlign w:val="subscript"/>
        </w:rPr>
        <w:t>1-β</w:t>
      </w:r>
      <w:r>
        <w:rPr>
          <w:rFonts w:ascii="Times New Roman" w:hAnsi="Times New Roman"/>
          <w:b w:val="0"/>
          <w:i/>
          <w:color w:val="000000"/>
          <w:sz w:val="24"/>
        </w:rPr>
        <w:t xml:space="preserve"> × √(p</w:t>
      </w:r>
      <w:r>
        <w:rPr>
          <w:rFonts w:ascii="Times New Roman" w:hAnsi="Times New Roman"/>
          <w:b w:val="0"/>
          <w:i/>
          <w:color w:val="000000"/>
          <w:sz w:val="24"/>
          <w:vertAlign w:val="subscript"/>
        </w:rPr>
        <w:t>1</w:t>
      </w:r>
      <w:r>
        <w:rPr>
          <w:rFonts w:ascii="Times New Roman" w:hAnsi="Times New Roman"/>
          <w:b w:val="0"/>
          <w:i/>
          <w:color w:val="000000"/>
          <w:sz w:val="24"/>
        </w:rPr>
        <w:t>(1 - p</w:t>
      </w:r>
      <w:r>
        <w:rPr>
          <w:rFonts w:ascii="Times New Roman" w:hAnsi="Times New Roman"/>
          <w:b w:val="0"/>
          <w:i/>
          <w:color w:val="000000"/>
          <w:sz w:val="24"/>
          <w:vertAlign w:val="subscript"/>
        </w:rPr>
        <w:t>1</w:t>
      </w:r>
      <w:r>
        <w:rPr>
          <w:rFonts w:ascii="Times New Roman" w:hAnsi="Times New Roman"/>
          <w:b w:val="0"/>
          <w:i/>
          <w:color w:val="000000"/>
          <w:sz w:val="24"/>
        </w:rPr>
        <w:t>) + p</w:t>
      </w:r>
      <w:r>
        <w:rPr>
          <w:rFonts w:ascii="Times New Roman" w:hAnsi="Times New Roman"/>
          <w:b w:val="0"/>
          <w:i/>
          <w:color w:val="000000"/>
          <w:sz w:val="24"/>
          <w:vertAlign w:val="subscript"/>
        </w:rPr>
        <w:t>2</w:t>
      </w:r>
      <w:r>
        <w:rPr>
          <w:rFonts w:ascii="Times New Roman" w:hAnsi="Times New Roman"/>
          <w:b w:val="0"/>
          <w:i/>
          <w:color w:val="000000"/>
          <w:sz w:val="24"/>
        </w:rPr>
        <w:t>(1 - p</w:t>
      </w:r>
      <w:r>
        <w:rPr>
          <w:rFonts w:ascii="Times New Roman" w:hAnsi="Times New Roman"/>
          <w:b w:val="0"/>
          <w:i/>
          <w:color w:val="000000"/>
          <w:sz w:val="24"/>
          <w:vertAlign w:val="subscript"/>
        </w:rPr>
        <w:t>2</w:t>
      </w:r>
      <w:r>
        <w:rPr>
          <w:rFonts w:ascii="Times New Roman" w:hAnsi="Times New Roman"/>
          <w:b w:val="0"/>
          <w:i/>
          <w:color w:val="000000"/>
          <w:sz w:val="24"/>
        </w:rPr>
        <w:t>))]</w:t>
      </w:r>
      <w:r>
        <w:rPr>
          <w:rFonts w:ascii="Times New Roman" w:hAnsi="Times New Roman"/>
          <w:b w:val="0"/>
          <w:i/>
          <w:color w:val="000000"/>
          <w:sz w:val="24"/>
          <w:vertAlign w:val="superscript"/>
        </w:rPr>
        <w:t>2</w:t>
      </w:r>
      <w:r>
        <w:rPr>
          <w:rFonts w:ascii="Times New Roman" w:hAnsi="Times New Roman"/>
          <w:b w:val="0"/>
          <w:i/>
          <w:color w:val="000000"/>
          <w:sz w:val="24"/>
        </w:rPr>
        <w:t xml:space="preserve"> / (p</w:t>
      </w:r>
      <w:r>
        <w:rPr>
          <w:rFonts w:ascii="Times New Roman" w:hAnsi="Times New Roman"/>
          <w:b w:val="0"/>
          <w:i/>
          <w:color w:val="000000"/>
          <w:sz w:val="24"/>
          <w:vertAlign w:val="subscript"/>
        </w:rPr>
        <w:t>1</w:t>
      </w:r>
      <w:r>
        <w:rPr>
          <w:rFonts w:ascii="Times New Roman" w:hAnsi="Times New Roman"/>
          <w:b w:val="0"/>
          <w:i/>
          <w:color w:val="000000"/>
          <w:sz w:val="24"/>
        </w:rPr>
        <w:t xml:space="preserve"> - p</w:t>
      </w:r>
      <w:r>
        <w:rPr>
          <w:rFonts w:ascii="Times New Roman" w:hAnsi="Times New Roman"/>
          <w:b w:val="0"/>
          <w:i/>
          <w:color w:val="000000"/>
          <w:sz w:val="24"/>
          <w:vertAlign w:val="subscript"/>
        </w:rPr>
        <w:t>2</w:t>
      </w:r>
      <w:r>
        <w:rPr>
          <w:rFonts w:ascii="Times New Roman" w:hAnsi="Times New Roman"/>
          <w:b w:val="0"/>
          <w:i/>
          <w:color w:val="000000"/>
          <w:sz w:val="24"/>
        </w:rPr>
        <w:t>)</w:t>
      </w:r>
      <w:r>
        <w:rPr>
          <w:rFonts w:ascii="Times New Roman" w:hAnsi="Times New Roman"/>
          <w:b w:val="0"/>
          <w:i/>
          <w:color w:val="000000"/>
          <w:sz w:val="24"/>
          <w:vertAlign w:val="superscript"/>
        </w:rPr>
        <w:t>2</w:t>
      </w:r>
    </w:p>
    <w:p>
      <w:pPr>
        <w:jc w:val="both"/>
      </w:pPr>
      <w:r>
        <w:rPr>
          <w:rFonts w:ascii="Times New Roman" w:hAnsi="Times New Roman"/>
          <w:b w:val="0"/>
          <w:i w:val="0"/>
          <w:color w:val="000000"/>
          <w:sz w:val="24"/>
        </w:rPr>
        <w:t>Com α = 0,05 (Z</w:t>
      </w:r>
      <w:r>
        <w:rPr>
          <w:rFonts w:ascii="Times New Roman" w:hAnsi="Times New Roman"/>
          <w:b w:val="0"/>
          <w:i w:val="0"/>
          <w:color w:val="000000"/>
          <w:sz w:val="24"/>
          <w:vertAlign w:val="subscript"/>
        </w:rPr>
        <w:t>1-α/2</w:t>
      </w:r>
      <w:r>
        <w:rPr>
          <w:rFonts w:ascii="Times New Roman" w:hAnsi="Times New Roman"/>
          <w:b w:val="0"/>
          <w:i w:val="0"/>
          <w:color w:val="000000"/>
          <w:sz w:val="24"/>
        </w:rPr>
        <w:t xml:space="preserve"> = 1,96), poder de 80% (Z</w:t>
      </w:r>
      <w:r>
        <w:rPr>
          <w:rFonts w:ascii="Times New Roman" w:hAnsi="Times New Roman"/>
          <w:b w:val="0"/>
          <w:i w:val="0"/>
          <w:color w:val="000000"/>
          <w:sz w:val="24"/>
          <w:vertAlign w:val="subscript"/>
        </w:rPr>
        <w:t>1-β</w:t>
      </w:r>
      <w:r>
        <w:rPr>
          <w:rFonts w:ascii="Times New Roman" w:hAnsi="Times New Roman"/>
          <w:b w:val="0"/>
          <w:i w:val="0"/>
          <w:color w:val="000000"/>
          <w:sz w:val="24"/>
        </w:rPr>
        <w:t xml:space="preserve"> = 0,84), p</w:t>
      </w:r>
      <w:r>
        <w:rPr>
          <w:rFonts w:ascii="Times New Roman" w:hAnsi="Times New Roman"/>
          <w:b w:val="0"/>
          <w:i w:val="0"/>
          <w:color w:val="000000"/>
          <w:sz w:val="24"/>
          <w:vertAlign w:val="subscript"/>
        </w:rPr>
        <w:t>1</w:t>
      </w:r>
      <w:r>
        <w:rPr>
          <w:rFonts w:ascii="Times New Roman" w:hAnsi="Times New Roman"/>
          <w:b w:val="0"/>
          <w:i w:val="0"/>
          <w:color w:val="000000"/>
          <w:sz w:val="24"/>
        </w:rPr>
        <w:t xml:space="preserve"> = 0,17 nos doentes sem complicação confirmada e p</w:t>
      </w:r>
      <w:r>
        <w:rPr>
          <w:rFonts w:ascii="Times New Roman" w:hAnsi="Times New Roman"/>
          <w:b w:val="0"/>
          <w:i w:val="0"/>
          <w:color w:val="000000"/>
          <w:sz w:val="24"/>
          <w:vertAlign w:val="subscript"/>
        </w:rPr>
        <w:t>2</w:t>
      </w:r>
      <w:r>
        <w:rPr>
          <w:rFonts w:ascii="Times New Roman" w:hAnsi="Times New Roman"/>
          <w:b w:val="0"/>
          <w:i w:val="0"/>
          <w:color w:val="000000"/>
          <w:sz w:val="24"/>
        </w:rPr>
        <w:t xml:space="preserve"> = 0,32 nos doentes com complicação, a diferença de 15 pontos percentuais corresponde a um OR de 2,30, compatível em ordem de grandeza com as associações já descritas entre uso de medicina tradicional e hipertensão grave ou complicada (5), assumida para fins de planeamento na ausência de estudos que estratifiquem o uso concomitante pela gravidade do internamento. Substituindo:</w:t>
      </w:r>
    </w:p>
    <w:p>
      <w:pPr>
        <w:spacing w:before="120" w:after="120"/>
        <w:jc w:val="center"/>
      </w:pPr>
      <w:r>
        <w:rPr>
          <w:rFonts w:ascii="Times New Roman" w:hAnsi="Times New Roman"/>
          <w:b w:val="0"/>
          <w:i/>
          <w:color w:val="000000"/>
          <w:sz w:val="24"/>
        </w:rPr>
        <w:t>n = [1,96 × √(2 × 0,245 × 0,755) + 0,84 × √(0,1411 + 0,2176)]</w:t>
      </w:r>
      <w:r>
        <w:rPr>
          <w:rFonts w:ascii="Times New Roman" w:hAnsi="Times New Roman"/>
          <w:b w:val="0"/>
          <w:i/>
          <w:color w:val="000000"/>
          <w:sz w:val="24"/>
          <w:vertAlign w:val="superscript"/>
        </w:rPr>
        <w:t>2</w:t>
      </w:r>
      <w:r>
        <w:rPr>
          <w:rFonts w:ascii="Times New Roman" w:hAnsi="Times New Roman"/>
          <w:b w:val="0"/>
          <w:i/>
          <w:color w:val="000000"/>
          <w:sz w:val="24"/>
        </w:rPr>
        <w:t xml:space="preserve"> / 0,15</w:t>
      </w:r>
      <w:r>
        <w:rPr>
          <w:rFonts w:ascii="Times New Roman" w:hAnsi="Times New Roman"/>
          <w:b w:val="0"/>
          <w:i/>
          <w:color w:val="000000"/>
          <w:sz w:val="24"/>
          <w:vertAlign w:val="superscript"/>
        </w:rPr>
        <w:t>2</w:t>
      </w:r>
      <w:r>
        <w:rPr>
          <w:rFonts w:ascii="Times New Roman" w:hAnsi="Times New Roman"/>
          <w:b w:val="0"/>
          <w:i/>
          <w:color w:val="000000"/>
          <w:sz w:val="24"/>
        </w:rPr>
        <w:t xml:space="preserve"> = (1,1921 + 0,5031)</w:t>
      </w:r>
      <w:r>
        <w:rPr>
          <w:rFonts w:ascii="Times New Roman" w:hAnsi="Times New Roman"/>
          <w:b w:val="0"/>
          <w:i/>
          <w:color w:val="000000"/>
          <w:sz w:val="24"/>
          <w:vertAlign w:val="superscript"/>
        </w:rPr>
        <w:t>2</w:t>
      </w:r>
      <w:r>
        <w:rPr>
          <w:rFonts w:ascii="Times New Roman" w:hAnsi="Times New Roman"/>
          <w:b w:val="0"/>
          <w:i/>
          <w:color w:val="000000"/>
          <w:sz w:val="24"/>
        </w:rPr>
        <w:t xml:space="preserve"> / 0,0225 = 127,7</w:t>
      </w:r>
    </w:p>
    <w:p>
      <w:pPr>
        <w:jc w:val="both"/>
      </w:pPr>
      <w:r>
        <w:rPr>
          <w:rFonts w:ascii="Times New Roman" w:hAnsi="Times New Roman"/>
          <w:b w:val="0"/>
          <w:i w:val="0"/>
          <w:color w:val="000000"/>
          <w:sz w:val="24"/>
        </w:rPr>
        <w:t>São necessários 128 doentes efectivos por grupo, ou 256 no total, acima dos 205 previstos, e esta comparação fica aquém do poder de 80% para uma diferença de 15 pontos percentuais. Com os 205 doentes e uma divisão plausível de 60% sem complicação confirmada e 40% com complicação, o poder estimado para essa mesma diferença é de cerca de 70%. A análise é, por isso, tratada como exploratória, reportada com IC95% e interpretada com cautela, à semelhança da comparação do objectivo específico 3.</w:t>
      </w:r>
    </w:p>
    <w:p>
      <w:pPr>
        <w:pStyle w:val="Heading3"/>
      </w:pPr>
      <w:r>
        <w:rPr>
          <w:rFonts w:ascii="Times New Roman" w:hAnsi="Times New Roman"/>
          <w:b w:val="0"/>
          <w:i w:val="0"/>
          <w:color w:val="000000"/>
          <w:sz w:val="24"/>
        </w:rPr>
        <w:t>8.4.1. Técnica de amostragem</w:t>
      </w:r>
    </w:p>
    <w:p>
      <w:pPr>
        <w:jc w:val="both"/>
      </w:pPr>
      <w:r>
        <w:rPr>
          <w:rFonts w:ascii="Times New Roman" w:hAnsi="Times New Roman"/>
          <w:b w:val="0"/>
          <w:i w:val="0"/>
          <w:color w:val="000000"/>
          <w:sz w:val="24"/>
        </w:rPr>
        <w:t>A amostragem é consecutiva e exaustiva, e não por quota: o internamento não tem uma lista antecipada de admissões futuras, e a população elegível é pequena em relação ao tamanho-alvo. Todos os dias úteis, o estudante ou o inquiridor assistente consulta o livro de admissões dos Departamentos de Medicina I e II, identifica os admitidos com hipertensão ou complicação hipertensiva desde a última visita e avalia a elegibilidade. Todo o doente elegível é convidado a participar, sem substituição; as recusas e os motivos são registados para calcular a taxa de participação, e os doentes sem capacidade de responder são reavaliados a cada visita até à alta ou ao limite do período de recolha.</w:t>
      </w:r>
    </w:p>
    <w:p>
      <w:pPr>
        <w:pStyle w:val="Heading2"/>
      </w:pPr>
      <w:r>
        <w:rPr>
          <w:rFonts w:ascii="Times New Roman" w:hAnsi="Times New Roman"/>
          <w:b/>
          <w:i w:val="0"/>
          <w:color w:val="000000"/>
          <w:sz w:val="24"/>
        </w:rPr>
        <w:t>8.5. Critérios de inclusão e de exclusão</w:t>
      </w:r>
    </w:p>
    <w:p>
      <w:pPr>
        <w:pStyle w:val="Heading3"/>
      </w:pPr>
      <w:r>
        <w:rPr>
          <w:rFonts w:ascii="Times New Roman" w:hAnsi="Times New Roman"/>
          <w:b w:val="0"/>
          <w:i w:val="0"/>
          <w:color w:val="000000"/>
          <w:sz w:val="24"/>
        </w:rPr>
        <w:t>8.5.1. Critérios de inclusão</w:t>
      </w:r>
    </w:p>
    <w:p>
      <w:pPr>
        <w:pStyle w:val="ListBullet"/>
        <w:jc w:val="both"/>
      </w:pPr>
      <w:r>
        <w:rPr>
          <w:rFonts w:ascii="Times New Roman" w:hAnsi="Times New Roman"/>
          <w:b w:val="0"/>
          <w:i w:val="0"/>
          <w:color w:val="000000"/>
          <w:sz w:val="24"/>
        </w:rPr>
        <w:t>Idade igual ou superior a 18 anos.</w:t>
      </w:r>
    </w:p>
    <w:p>
      <w:pPr>
        <w:pStyle w:val="ListBullet"/>
        <w:jc w:val="both"/>
      </w:pPr>
      <w:r>
        <w:rPr>
          <w:rFonts w:ascii="Times New Roman" w:hAnsi="Times New Roman"/>
          <w:b w:val="0"/>
          <w:i w:val="0"/>
          <w:color w:val="000000"/>
          <w:sz w:val="24"/>
        </w:rPr>
        <w:t>Internamento nos Departamentos de Medicina I ou II do HCN, com diagnóstico de admissão de hipertensão arterial ou de uma complicação atribuída à hipertensão, registado no processo clínico.</w:t>
      </w:r>
    </w:p>
    <w:p>
      <w:pPr>
        <w:pStyle w:val="ListBullet"/>
        <w:jc w:val="both"/>
      </w:pPr>
      <w:r>
        <w:rPr>
          <w:rFonts w:ascii="Times New Roman" w:hAnsi="Times New Roman"/>
          <w:b w:val="0"/>
          <w:i w:val="0"/>
          <w:color w:val="000000"/>
          <w:sz w:val="24"/>
        </w:rPr>
        <w:t>Pelo menos um anti-hipertensor prescrito antes da admissão ou durante o internamento.</w:t>
      </w:r>
    </w:p>
    <w:p>
      <w:pPr>
        <w:pStyle w:val="ListBullet"/>
        <w:jc w:val="both"/>
      </w:pPr>
      <w:r>
        <w:rPr>
          <w:rFonts w:ascii="Times New Roman" w:hAnsi="Times New Roman"/>
          <w:b w:val="0"/>
          <w:i w:val="0"/>
          <w:color w:val="000000"/>
          <w:sz w:val="24"/>
        </w:rPr>
        <w:t>Capacidade de responder à entrevista no momento da abordagem (orientação na pessoa e no tempo, discurso compreensível); os doentes sem essa capacidade à admissão são reavaliados em visitas seguintes, até à alta ou ao limite do período de recolha.</w:t>
      </w:r>
    </w:p>
    <w:p>
      <w:pPr>
        <w:pStyle w:val="ListBullet"/>
        <w:jc w:val="both"/>
      </w:pPr>
      <w:r>
        <w:rPr>
          <w:rFonts w:ascii="Times New Roman" w:hAnsi="Times New Roman"/>
          <w:b w:val="0"/>
          <w:i w:val="0"/>
          <w:color w:val="000000"/>
          <w:sz w:val="24"/>
        </w:rPr>
        <w:t>Consentimento informado, assinado ou confirmado por impressão digital na presença de testemunha.</w:t>
      </w:r>
    </w:p>
    <w:p>
      <w:pPr>
        <w:pStyle w:val="Heading3"/>
      </w:pPr>
      <w:r>
        <w:rPr>
          <w:rFonts w:ascii="Times New Roman" w:hAnsi="Times New Roman"/>
          <w:b w:val="0"/>
          <w:i w:val="0"/>
          <w:color w:val="000000"/>
          <w:sz w:val="24"/>
        </w:rPr>
        <w:t>8.5.2. Critérios de exclusão</w:t>
      </w:r>
    </w:p>
    <w:p>
      <w:pPr>
        <w:pStyle w:val="ListBullet"/>
        <w:jc w:val="both"/>
      </w:pPr>
      <w:r>
        <w:rPr>
          <w:rFonts w:ascii="Times New Roman" w:hAnsi="Times New Roman"/>
          <w:b w:val="0"/>
          <w:i w:val="0"/>
          <w:color w:val="000000"/>
          <w:sz w:val="24"/>
        </w:rPr>
        <w:t>Gravidez declarada ou registada no processo.</w:t>
      </w:r>
    </w:p>
    <w:p>
      <w:pPr>
        <w:pStyle w:val="ListBullet"/>
        <w:jc w:val="both"/>
      </w:pPr>
      <w:r>
        <w:rPr>
          <w:rFonts w:ascii="Times New Roman" w:hAnsi="Times New Roman"/>
          <w:b w:val="0"/>
          <w:i w:val="0"/>
          <w:color w:val="000000"/>
          <w:sz w:val="24"/>
        </w:rPr>
        <w:t>Ausência de capacidade para responder até à alta, à transferência, ao óbito ou ao fim do período de recolha.</w:t>
      </w:r>
    </w:p>
    <w:p>
      <w:pPr>
        <w:pStyle w:val="ListBullet"/>
        <w:jc w:val="both"/>
      </w:pPr>
      <w:r>
        <w:rPr>
          <w:rFonts w:ascii="Times New Roman" w:hAnsi="Times New Roman"/>
          <w:b w:val="0"/>
          <w:i w:val="0"/>
          <w:color w:val="000000"/>
          <w:sz w:val="24"/>
        </w:rPr>
        <w:t>Não compreensão de português nem de emakhuwa.</w:t>
      </w:r>
    </w:p>
    <w:p>
      <w:pPr>
        <w:pStyle w:val="ListBullet"/>
        <w:jc w:val="both"/>
      </w:pPr>
      <w:r>
        <w:rPr>
          <w:rFonts w:ascii="Times New Roman" w:hAnsi="Times New Roman"/>
          <w:b w:val="0"/>
          <w:i w:val="0"/>
          <w:color w:val="000000"/>
          <w:sz w:val="24"/>
        </w:rPr>
        <w:t>Alta, transferência ou óbito antes da abordagem.</w:t>
      </w:r>
    </w:p>
    <w:p>
      <w:pPr>
        <w:pStyle w:val="ListBullet"/>
        <w:jc w:val="both"/>
      </w:pPr>
      <w:r>
        <w:rPr>
          <w:rFonts w:ascii="Times New Roman" w:hAnsi="Times New Roman"/>
          <w:b w:val="0"/>
          <w:i w:val="0"/>
          <w:color w:val="000000"/>
          <w:sz w:val="24"/>
        </w:rPr>
        <w:t>Participação no pré-teste do instrumento ou inclusão anterior no estudo.</w:t>
      </w:r>
    </w:p>
    <w:p>
      <w:pPr>
        <w:pStyle w:val="Heading2"/>
      </w:pPr>
      <w:r>
        <w:rPr>
          <w:rFonts w:ascii="Times New Roman" w:hAnsi="Times New Roman"/>
          <w:b/>
          <w:i w:val="0"/>
          <w:color w:val="000000"/>
          <w:sz w:val="24"/>
        </w:rPr>
        <w:t>8.6. Variáveis e definições operacionais</w:t>
      </w:r>
    </w:p>
    <w:p>
      <w:pPr>
        <w:jc w:val="both"/>
      </w:pPr>
      <w:r>
        <w:rPr>
          <w:rFonts w:ascii="Times New Roman" w:hAnsi="Times New Roman"/>
          <w:b w:val="0"/>
          <w:i w:val="0"/>
          <w:color w:val="000000"/>
          <w:sz w:val="24"/>
        </w:rPr>
        <w:t>O Quadro 2 apresenta as variáveis, o tipo, a definição operacional e o objectivo a que cada uma responde. A variável dependente principal é o uso concomitante nos 30 dias anteriores à admissão; as variáveis botânicas e de interacção são atribuídas depois da entrevista, pelos identificadores e avaliadores.</w:t>
      </w:r>
    </w:p>
    <w:p>
      <w:pPr>
        <w:keepNext/>
        <w:spacing w:before="160" w:after="60" w:line="240" w:lineRule="auto"/>
        <w:jc w:val="left"/>
      </w:pPr>
      <w:r>
        <w:rPr>
          <w:rFonts w:ascii="Times New Roman" w:hAnsi="Times New Roman"/>
          <w:b w:val="0"/>
          <w:i w:val="0"/>
          <w:color w:val="000000"/>
          <w:sz w:val="20"/>
        </w:rPr>
        <w:t>Quadro 2: Variáveis do estudo e definições operacionais</w:t>
      </w:r>
    </w:p>
    <w:tbl>
      <w:tblPr>
        <w:jc w:val="center"/>
        <w:tblLayout w:type="fixed"/>
        <w:tblLook w:firstColumn="1" w:firstRow="1" w:lastColumn="0" w:lastRow="0" w:noHBand="0" w:noVBand="1" w:val="04A0"/>
        <w:tblW w:w="9072" w:type="dxa"/>
      </w:tblPr>
      <w:tblGrid>
        <w:gridCol w:w="2041"/>
        <w:gridCol w:w="1587"/>
        <w:gridCol w:w="4309"/>
        <w:gridCol w:w="1134"/>
      </w:tblGrid>
      <w:tr>
        <w:trPr>
          <w:tblHeader w:val="true"/>
          <w:cantSplit w:val="true"/>
        </w:trPr>
        <w:tc>
          <w:tcPr>
            <w:tcW w:type="dxa" w:w="2041"/>
            <w:tcBorders>
              <w:left w:val="nil"/>
              <w:right w:val="nil"/>
              <w:insideH w:val="nil"/>
              <w:insideV w:val="nil"/>
              <w:top w:val="single" w:sz="8" w:color="000000"/>
              <w:bottom w:val="single" w:sz="6" w:color="000000"/>
            </w:tcBorders>
          </w:tcPr>
          <w:p>
            <w:pPr>
              <w:spacing w:before="20" w:after="20" w:line="240" w:lineRule="auto"/>
              <w:ind w:firstLine="0"/>
              <w:jc w:val="left"/>
            </w:pPr>
            <w:r/>
            <w:r>
              <w:rPr>
                <w:rFonts w:ascii="Times New Roman" w:hAnsi="Times New Roman"/>
                <w:b/>
                <w:i w:val="0"/>
                <w:color w:val="000000"/>
                <w:sz w:val="22"/>
              </w:rPr>
              <w:t>Variável</w:t>
            </w:r>
          </w:p>
        </w:tc>
        <w:tc>
          <w:tcPr>
            <w:tcW w:type="dxa" w:w="1587"/>
            <w:tcBorders>
              <w:left w:val="nil"/>
              <w:right w:val="nil"/>
              <w:insideH w:val="nil"/>
              <w:insideV w:val="nil"/>
              <w:top w:val="single" w:sz="8" w:color="000000"/>
              <w:bottom w:val="single" w:sz="6" w:color="000000"/>
            </w:tcBorders>
          </w:tcPr>
          <w:p>
            <w:pPr>
              <w:spacing w:before="20" w:after="20" w:line="240" w:lineRule="auto"/>
              <w:ind w:firstLine="0"/>
              <w:jc w:val="left"/>
            </w:pPr>
            <w:r/>
            <w:r>
              <w:rPr>
                <w:rFonts w:ascii="Times New Roman" w:hAnsi="Times New Roman"/>
                <w:b/>
                <w:i w:val="0"/>
                <w:color w:val="000000"/>
                <w:sz w:val="22"/>
              </w:rPr>
              <w:t>Tipo</w:t>
            </w:r>
          </w:p>
        </w:tc>
        <w:tc>
          <w:tcPr>
            <w:tcW w:type="dxa" w:w="4309"/>
            <w:tcBorders>
              <w:left w:val="nil"/>
              <w:right w:val="nil"/>
              <w:insideH w:val="nil"/>
              <w:insideV w:val="nil"/>
              <w:top w:val="single" w:sz="8" w:color="000000"/>
              <w:bottom w:val="single" w:sz="6" w:color="000000"/>
            </w:tcBorders>
          </w:tcPr>
          <w:p>
            <w:pPr>
              <w:spacing w:before="20" w:after="20" w:line="240" w:lineRule="auto"/>
              <w:ind w:firstLine="0"/>
              <w:jc w:val="left"/>
            </w:pPr>
            <w:r/>
            <w:r>
              <w:rPr>
                <w:rFonts w:ascii="Times New Roman" w:hAnsi="Times New Roman"/>
                <w:b/>
                <w:i w:val="0"/>
                <w:color w:val="000000"/>
                <w:sz w:val="22"/>
              </w:rPr>
              <w:t>Definição operacional e categorias</w:t>
            </w:r>
          </w:p>
        </w:tc>
        <w:tc>
          <w:tcPr>
            <w:tcW w:type="dxa" w:w="1134"/>
            <w:tcBorders>
              <w:left w:val="nil"/>
              <w:right w:val="nil"/>
              <w:insideH w:val="nil"/>
              <w:insideV w:val="nil"/>
              <w:top w:val="single" w:sz="8" w:color="000000"/>
              <w:bottom w:val="single" w:sz="6" w:color="000000"/>
            </w:tcBorders>
          </w:tcPr>
          <w:p>
            <w:pPr>
              <w:spacing w:before="20" w:after="20" w:line="240" w:lineRule="auto"/>
              <w:ind w:firstLine="0"/>
              <w:jc w:val="center"/>
            </w:pPr>
            <w:r/>
            <w:r>
              <w:rPr>
                <w:rFonts w:ascii="Times New Roman" w:hAnsi="Times New Roman"/>
                <w:b/>
                <w:i w:val="0"/>
                <w:color w:val="000000"/>
                <w:sz w:val="22"/>
              </w:rPr>
              <w:t>Objectivo</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Idade</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Independente, quantitativa</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Anos completos; 18-39, 40-59, 60 ou mais</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1, 5</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Sexo</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Independente, nominal</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Masculino; feminino</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1, 5</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Escolaridade</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Independente, ordinal</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Nenhuma; primária; secundária; superior; para o objectivo 5, nenhuma ou primária contra secundária ou superior</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1, 5</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Ocupação e rendimento</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Independente, nominal</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Com rendimento regular; sem rendimento regular</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1, 5</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Estado civil e residência</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Independente, nominal</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Solteiro; casado ou em união; separado ou viúvo; bairro urbano ou periurbano</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1, 5</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Departamento de internamento</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Independente, nominal</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Medicina I; Medicina II</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1, 5</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Gravidade e motivo do internamento</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Independente, nominal</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Hipertensão sem complicação confirmada (incluindo crise hipertensiva sem lesão de órgão-alvo documentada); complicação hipertensiva com lesão de órgão-alvo (AVC, insuficiência cardíaca descompensada, lesão renal aguda ou agudização de doença renal crónica, encefalopatia hipertensiva, outra), pelo diagnóstico de admissão</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5</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Tempo desde o diagnóstico de hipertensão</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Independente, quantitativa</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Anos, pelo processo; menos de 5; 5 ou mais</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1, 5</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Anti-hipertensores em uso</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Independente, nominal e quantitativa</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Nome, dose e classe de cada anti-hipertensor prescrito (diurético tiazídico; inibidor da enzima de conversão da angiotensina; antagonista dos receptores da angiotensina II; bloqueador dos canais de cálcio; betabloqueador; outro); número total</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4, 5</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Percepção do controlo da hipertensão antes do internamento</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Independente, ordinal</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Bem controlada; mais ou menos; mal controlada</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5</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Ruptura do anti-hipertensor</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Independente, nominal</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Falta do medicamento na unidade sanitária habitual nos últimos 3 meses: sim; não</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2, 5</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Consulta a praticante de medicina tradicional</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Descritiva, nominal</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Nos últimos 12 meses: sim; não</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2</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Uso concomitante actual</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Dependente, nominal</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Pelo menos uma planta ou preparação com finalidade de saúde nos 30 dias anteriores à admissão, com anti-hipertensor prescrito: sim; não</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1, 5</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Uso nos últimos 12 meses</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Descritiva, nominal</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Sim; não</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Nome vernáculo</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Descritiva, nominal</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Nome em emakhuwa e em português, tal como dito pelo doente</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2</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Identidade botânica</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Descritiva, nominal</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Nome aceite com autoridade e família; nível de identificação 1 a 4 (ver texto)</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2, 4</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Parte usada, preparação e via</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Descritiva, nominal</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Raiz, casca, folha, fruto, semente, planta inteira; decocção, infusão, maceração, pó, sumo; oral, tópica, banho, inalação</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2</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Frequência e duração do uso</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Descritiva, ordinal</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Diária; semanal; ocasional; meses de uso; toma à mesma hora dos anti-hipertensores: sim; não; às vezes</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2</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Motivo do uso</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Descritiva, nominal (resposta múltipla)</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Por planta: tratar a hipertensão; aliviar efeitos adversos; outro problema; reforçar o organismo; causa espiritual; outro. Razões gerais: crença na eficácia; controlo insuficiente; efeitos incómodos; falta do medicamento; custo; conselho; tradição</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2</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Fonte de obtenção e de recomendação</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Descritiva, nominal</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Obtenção: praticante; mercado; cultivo próprio; recolha no mato; familiar ou vizinho; farmácia ou ervanária. Recomendação: família ou amigos; praticante; outro doente; profissional; comunicação social</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2</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Custo</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Descritiva, quantitativa</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Meticais gastos por mês com plantas e preparações</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2</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Redução ou suspensão do anti-hipertensor e efeitos atribuídos</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Descritiva, nominal</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Por causa das plantas, nos últimos 12 meses: sim; não; problema de saúde atribuído à combinação: sim; não</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2</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Revelação do uso</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Dependente, nominal</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Informou pelo menos um profissional nos últimos 12 meses: sim, por iniciativa própria; sim, em resposta a pergunta; não; a quem; reacção do profissional</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3</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Razões da não revelação</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Descritiva, nominal (resposta múltipla)</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Não lhe perguntaram; receio de crítica; achou sem importância; o profissional não conhece plantas; falta de tempo; planta segura; outra (3)</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3</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Pergunta pelo profissional</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Independente, nominal</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Algum profissional perguntou pelo uso nos últimos 12 meses: sim; não; quem</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3</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Registo no processo clínico</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Descritiva, nominal</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Menção ao uso de medicina tradicional no processo: sim; não</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3</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Percepção do risco da combinação</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Descritiva, nominal</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Acha que tomar plantas com os anti-hipertensores pode fazer mal: sim; não; não sabe</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3</w:t>
            </w:r>
          </w:p>
        </w:tc>
      </w:tr>
      <w:tr>
        <w:trPr>
          <w:cantSplit w:val="true"/>
        </w:trPr>
        <w:tc>
          <w:tcPr>
            <w:tcW w:type="dxa" w:w="204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Categoria do potencial de interacção</w:t>
            </w:r>
          </w:p>
        </w:tc>
        <w:tc>
          <w:tcPr>
            <w:tcW w:type="dxa" w:w="158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Dependente, nominal</w:t>
            </w:r>
          </w:p>
        </w:tc>
        <w:tc>
          <w:tcPr>
            <w:tcW w:type="dxa" w:w="430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Por combinação: categorias 1 a 5 (ver texto); mecanismo e direcção</w:t>
            </w:r>
          </w:p>
        </w:tc>
        <w:tc>
          <w:tcPr>
            <w:tcW w:type="dxa" w:w="113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4</w:t>
            </w:r>
          </w:p>
        </w:tc>
      </w:tr>
      <w:tr>
        <w:trPr>
          <w:cantSplit w:val="true"/>
        </w:trPr>
        <w:tc>
          <w:tcPr>
            <w:tcW w:type="dxa" w:w="2041"/>
            <w:tcBorders>
              <w:top w:val="nil"/>
              <w:left w:val="nil"/>
              <w:right w:val="nil"/>
              <w:insideH w:val="nil"/>
              <w:insideV w:val="nil"/>
              <w:bottom w:val="single" w:sz="8" w:color="000000"/>
            </w:tcBorders>
          </w:tcPr>
          <w:p>
            <w:pPr>
              <w:spacing w:before="20" w:after="20" w:line="240" w:lineRule="auto"/>
              <w:ind w:firstLine="0"/>
              <w:jc w:val="left"/>
            </w:pPr>
            <w:r/>
            <w:r>
              <w:rPr>
                <w:rFonts w:ascii="Times New Roman" w:hAnsi="Times New Roman"/>
                <w:b w:val="0"/>
                <w:i w:val="0"/>
                <w:color w:val="000000"/>
                <w:sz w:val="22"/>
              </w:rPr>
              <w:t>Doente com potencial de interacção descrito</w:t>
            </w:r>
          </w:p>
        </w:tc>
        <w:tc>
          <w:tcPr>
            <w:tcW w:type="dxa" w:w="1587"/>
            <w:tcBorders>
              <w:top w:val="nil"/>
              <w:left w:val="nil"/>
              <w:right w:val="nil"/>
              <w:insideH w:val="nil"/>
              <w:insideV w:val="nil"/>
              <w:bottom w:val="single" w:sz="8" w:color="000000"/>
            </w:tcBorders>
          </w:tcPr>
          <w:p>
            <w:pPr>
              <w:spacing w:before="20" w:after="20" w:line="240" w:lineRule="auto"/>
              <w:ind w:firstLine="0"/>
              <w:jc w:val="left"/>
            </w:pPr>
            <w:r/>
            <w:r>
              <w:rPr>
                <w:rFonts w:ascii="Times New Roman" w:hAnsi="Times New Roman"/>
                <w:b w:val="0"/>
                <w:i w:val="0"/>
                <w:color w:val="000000"/>
                <w:sz w:val="22"/>
              </w:rPr>
              <w:t>Dependente, nominal</w:t>
            </w:r>
          </w:p>
        </w:tc>
        <w:tc>
          <w:tcPr>
            <w:tcW w:type="dxa" w:w="4309"/>
            <w:tcBorders>
              <w:top w:val="nil"/>
              <w:left w:val="nil"/>
              <w:right w:val="nil"/>
              <w:insideH w:val="nil"/>
              <w:insideV w:val="nil"/>
              <w:bottom w:val="single" w:sz="8" w:color="000000"/>
            </w:tcBorders>
          </w:tcPr>
          <w:p>
            <w:pPr>
              <w:spacing w:before="20" w:after="20" w:line="240" w:lineRule="auto"/>
              <w:ind w:firstLine="0"/>
              <w:jc w:val="left"/>
            </w:pPr>
            <w:r/>
            <w:r>
              <w:rPr>
                <w:rFonts w:ascii="Times New Roman" w:hAnsi="Times New Roman"/>
                <w:b w:val="0"/>
                <w:i w:val="0"/>
                <w:color w:val="000000"/>
                <w:sz w:val="22"/>
              </w:rPr>
              <w:t>Pelo menos uma combinação de categoria 1 ou 2: sim; não</w:t>
            </w:r>
          </w:p>
        </w:tc>
        <w:tc>
          <w:tcPr>
            <w:tcW w:type="dxa" w:w="1134"/>
            <w:tcBorders>
              <w:top w:val="nil"/>
              <w:left w:val="nil"/>
              <w:right w:val="nil"/>
              <w:insideH w:val="nil"/>
              <w:insideV w:val="nil"/>
              <w:bottom w:val="single" w:sz="8" w:color="000000"/>
            </w:tcBorders>
          </w:tcPr>
          <w:p>
            <w:pPr>
              <w:spacing w:before="20" w:after="20" w:line="240" w:lineRule="auto"/>
              <w:ind w:firstLine="0"/>
              <w:jc w:val="center"/>
            </w:pPr>
            <w:r/>
            <w:r>
              <w:rPr>
                <w:rFonts w:ascii="Times New Roman" w:hAnsi="Times New Roman"/>
                <w:b w:val="0"/>
                <w:i w:val="0"/>
                <w:color w:val="000000"/>
                <w:sz w:val="22"/>
              </w:rPr>
              <w:t>4</w:t>
            </w:r>
          </w:p>
        </w:tc>
      </w:tr>
    </w:tbl>
    <w:p>
      <w:pPr>
        <w:spacing w:before="60" w:after="200" w:line="240" w:lineRule="auto"/>
        <w:jc w:val="left"/>
      </w:pPr>
      <w:r>
        <w:rPr>
          <w:rFonts w:ascii="Times New Roman" w:hAnsi="Times New Roman"/>
          <w:b w:val="0"/>
          <w:i w:val="0"/>
          <w:color w:val="000000"/>
          <w:sz w:val="20"/>
        </w:rPr>
        <w:t>Fonte: Elaboração própria (2026).</w:t>
      </w:r>
    </w:p>
    <w:p>
      <w:pPr>
        <w:pStyle w:val="Heading2"/>
      </w:pPr>
      <w:r>
        <w:rPr>
          <w:rFonts w:ascii="Times New Roman" w:hAnsi="Times New Roman"/>
          <w:b/>
          <w:i w:val="0"/>
          <w:color w:val="000000"/>
          <w:sz w:val="24"/>
        </w:rPr>
        <w:t>8.7. Instrumentos de recolha de dados e respectivas fontes</w:t>
      </w:r>
    </w:p>
    <w:p>
      <w:pPr>
        <w:jc w:val="both"/>
      </w:pPr>
      <w:r>
        <w:rPr>
          <w:rFonts w:ascii="Times New Roman" w:hAnsi="Times New Roman"/>
          <w:b w:val="0"/>
          <w:i w:val="0"/>
          <w:color w:val="000000"/>
          <w:sz w:val="24"/>
        </w:rPr>
        <w:t>São usados quatro instrumentos. O questionário estruturado, aplicado por entrevistador (Apêndice A), tem oito secções, da identificação à verificação do processo clínico. Os itens sobre frequência e finalidade do uso foram adaptados da secção de plantas do I-CAM-Q (31,32); os itens sobre espécies, motivos e revelação seguem os usados em inquéritos a hipertensos africanos (6,15,16); e as opções sobre razões da não revelação derivam da meta-análise de Foley e colaboradores (3). A ficha de verificação do processo clínico regista o diagnóstico de admissão e a sua gravidade, os anti-hipertensores prescritos e qualquer menção ao uso de medicina tradicional; a ficha de identificação botânica e a de classificação do potencial de interacção constam do Apêndice B.</w:t>
      </w:r>
    </w:p>
    <w:p>
      <w:pPr>
        <w:jc w:val="both"/>
      </w:pPr>
      <w:r>
        <w:rPr>
          <w:rFonts w:ascii="Times New Roman" w:hAnsi="Times New Roman"/>
          <w:b w:val="0"/>
          <w:i w:val="0"/>
          <w:color w:val="000000"/>
          <w:sz w:val="24"/>
        </w:rPr>
        <w:t>A validade de conteúdo será avaliada por um painel de seis peritos: dois farmacêuticos, um com experiência em farmácia clínica hospitalar e outro em farmacognosia, dois clínicos dos Departamentos de Medicina I e II, um botânico e um técnico com experiência em medicina tradicional. Cada perito classifica cada item quanto à relevância e à clareza numa escala de 1 a 4; o IVC do item é a proporção de peritos que atribui 3 ou 4 (33). Com seis peritos, um item só é mantido sem revisão se pelo menos cinco o considerarem relevante (IVC de 0,83); os itens abaixo de 0,80 são reformulados ou eliminados, e o IVC médio do instrumento tem de ser de pelo menos 0,80.</w:t>
      </w:r>
    </w:p>
    <w:p>
      <w:pPr>
        <w:jc w:val="both"/>
      </w:pPr>
      <w:r>
        <w:rPr>
          <w:rFonts w:ascii="Times New Roman" w:hAnsi="Times New Roman"/>
          <w:b w:val="0"/>
          <w:i w:val="0"/>
          <w:color w:val="000000"/>
          <w:sz w:val="24"/>
        </w:rPr>
        <w:t>A versão aprovada será traduzida para emakhuwa por dois tradutores bilingues independentes, sintetizada numa versão única, retrovertida para português por outros dois tradutores que não conhecem o original e comparada com este por uma comissão formada pelo estudante, pelo orientador e pelos tradutores (34). Os termos «planta medicinal», «remédio tradicional» e «contar ao profissional» recebem atenção especial. O pré-teste será feito com cerca de 20 doentes, 10% da amostra planeada, na consulta externa de hipertensão do HCN, e avalia a compreensão, a duração, a sequência e o registo dos nomes vernáculos; dez destes doentes fazem também entrevista cognitiva. Como os itens principais são factuais e dicotómicos, os coeficientes de consistência interna não se aplicam: a fiabilidade é medida por teste-reteste, com 15 participantes do pré-teste reentrevistados por outro entrevistador 7 a 14 dias depois, presencialmente ou por telefone, calculando-se o kappa de Cohen para o uso, a revelação, a pergunta pelo profissional e a redução do anti-hipertensor; itens com kappa inferior a 0,60 são reformulados antes da recolha (35).</w:t>
      </w:r>
    </w:p>
    <w:p>
      <w:pPr>
        <w:pStyle w:val="Heading2"/>
      </w:pPr>
      <w:r>
        <w:rPr>
          <w:rFonts w:ascii="Times New Roman" w:hAnsi="Times New Roman"/>
          <w:b/>
          <w:i w:val="0"/>
          <w:color w:val="000000"/>
          <w:sz w:val="24"/>
        </w:rPr>
        <w:t>8.8. Procedimentos de recolha de dados e controlo de qualidade</w:t>
      </w:r>
    </w:p>
    <w:p>
      <w:pPr>
        <w:jc w:val="both"/>
      </w:pPr>
      <w:r>
        <w:rPr>
          <w:rFonts w:ascii="Times New Roman" w:hAnsi="Times New Roman"/>
          <w:b w:val="0"/>
          <w:i w:val="0"/>
          <w:color w:val="000000"/>
          <w:sz w:val="24"/>
        </w:rPr>
        <w:t>A equipa de campo é formada pelo estudante e por um inquiridor assistente, finalista de um curso da saúde e fluente em emakhuwa, que não pertencem às equipas clínicas dos Departamentos de Medicina I e II. A formação dura três dias e cobre o protocolo, a ética e a confidencialidade, a forma de perguntar sem julgar, o reconhecimento dos sinais de incapacidade para responder, o registo dos nomes vernáculos, a fotografia de produtos e o protocolo de referenciação, com entrevistas simuladas.</w:t>
      </w:r>
    </w:p>
    <w:p>
      <w:pPr>
        <w:jc w:val="both"/>
      </w:pPr>
      <w:r>
        <w:rPr>
          <w:rFonts w:ascii="Times New Roman" w:hAnsi="Times New Roman"/>
          <w:b w:val="0"/>
          <w:i w:val="0"/>
          <w:color w:val="000000"/>
          <w:sz w:val="24"/>
        </w:rPr>
        <w:t>Todos os dias úteis, a equipa percorre os Departamentos de Medicina I e II, identifica os doentes admitidos desde a última visita com diagnóstico de hipertensão ou de complicação hipertensiva e avalia a elegibilidade e a capacidade de responder. O doente elegível recebe a informação junto ao leito e, se aceitar, é entrevistado num espaço reservado da enfermaria ou junto ao leito com a cortina fechada, em horário que não interfira com os cuidados clínicos. A entrevista dura cerca de 30 a 40 minutos e pode ser repartida em duas sessões se o estado do doente o exigir. Para reduzir a subnotificação, a pergunta sobre o uso é precedida de uma frase que normaliza a prática e acompanhada de exemplos de categorias (chás, raízes, cascas, pós, misturas, produtos embalados). Os anti-hipertensores declarados são confirmados no processo clínico e no cartão ou receita do doente ou da família, que pode fotografar o produto usado, com autorização.</w:t>
      </w:r>
    </w:p>
    <w:p>
      <w:pPr>
        <w:jc w:val="both"/>
      </w:pPr>
      <w:r>
        <w:rPr>
          <w:rFonts w:ascii="Times New Roman" w:hAnsi="Times New Roman"/>
          <w:b w:val="0"/>
          <w:i w:val="0"/>
          <w:color w:val="000000"/>
          <w:sz w:val="24"/>
        </w:rPr>
        <w:t>O estudante revê todos os questionários no próprio dia quanto a preenchimento e coerência, e o orientador revê uma amostra semanal. Em 5% das entrevistas do inquiridor assistente, sorteadas, o estudante repete junto ao leito ou por telefone, antes da alta, cinco perguntas-chave para verificar a concordância. Os questionários são digitados duas vezes, de forma independente, em EpiData, com regras de validação de intervalo e de coerência, e as discrepâncias são corrigidas pelo papel.</w:t>
      </w:r>
    </w:p>
    <w:p>
      <w:pPr>
        <w:pStyle w:val="Heading2"/>
      </w:pPr>
      <w:r>
        <w:rPr>
          <w:rFonts w:ascii="Times New Roman" w:hAnsi="Times New Roman"/>
          <w:b/>
          <w:i w:val="0"/>
          <w:color w:val="000000"/>
          <w:sz w:val="24"/>
        </w:rPr>
        <w:t>8.9. Procedimentos de identificação botânica das espécies citadas</w:t>
      </w:r>
    </w:p>
    <w:p>
      <w:pPr>
        <w:jc w:val="both"/>
      </w:pPr>
      <w:r>
        <w:rPr>
          <w:rFonts w:ascii="Times New Roman" w:hAnsi="Times New Roman"/>
          <w:b w:val="0"/>
          <w:i w:val="0"/>
          <w:color w:val="000000"/>
          <w:sz w:val="24"/>
        </w:rPr>
        <w:t>No fim de cada semana, os nomes vernáculos registados são agrupados, com ajuda de um tradutor, para juntar variantes de grafia. Os nomes citados por pelo menos três participantes, até ao máximo dos 20 mais citados, são prioritários para a recolha de exemplares, obtidos por compra em mercados como cliente comum, indicação de doentes que cultivam a planta ou colaboração de praticantes que aceitem participar, com consentimento prévio informado.</w:t>
      </w:r>
    </w:p>
    <w:p>
      <w:pPr>
        <w:jc w:val="both"/>
      </w:pPr>
      <w:r>
        <w:rPr>
          <w:rFonts w:ascii="Times New Roman" w:hAnsi="Times New Roman"/>
          <w:b w:val="0"/>
          <w:i w:val="0"/>
          <w:color w:val="000000"/>
          <w:sz w:val="24"/>
        </w:rPr>
        <w:t>Cada exemplar é fotografado, georreferenciado, numerado e prensado segundo as práticas habituais de herbário, de preferência com material fértil. As raízes, cascas e pós comprados no mercado guardam-se como amostra de referência, mas não bastam para identificar a espécie: o exemplar de herbário tem de vir da planta viva indicada pelo vendedor, praticante ou doente. A identificação é feita por um botânico, por comparação com material de herbário e floras regionais, e o exemplar de referência é depositado com número de voucher no herbário da Universidade Eduardo Mondlane, onde foram depositados os exemplares do estudo de Mogovolas (12), ou noutro herbário acordado [confirmar junto da coordenação do curso o botânico responsável e o herbário de depósito].</w:t>
      </w:r>
    </w:p>
    <w:p>
      <w:pPr>
        <w:jc w:val="both"/>
      </w:pPr>
      <w:r>
        <w:rPr>
          <w:rFonts w:ascii="Times New Roman" w:hAnsi="Times New Roman"/>
          <w:b w:val="0"/>
          <w:i w:val="0"/>
          <w:color w:val="000000"/>
          <w:sz w:val="24"/>
        </w:rPr>
        <w:t>Como a atribuição de um nome vernáculo a uma espécie depende de julgamento, dois identificadores trabalham de forma independente, sem conhecer o resultado um do outro. A concordância ao nível da espécie é medida pelo kappa de Cohen e as discordâncias são resolvidas por exame conjunto ou por um terceiro especialista. O nome aceite, a autoridade e a família são confirmados na World Checklist of Vascular Plants (37) e no World Flora Online (38), com registo da data de consulta; os sinónimos são convertidos no nome aceite.</w:t>
      </w:r>
    </w:p>
    <w:p>
      <w:pPr>
        <w:jc w:val="both"/>
      </w:pPr>
      <w:r>
        <w:rPr>
          <w:rFonts w:ascii="Times New Roman" w:hAnsi="Times New Roman"/>
          <w:b w:val="0"/>
          <w:i w:val="0"/>
          <w:color w:val="000000"/>
          <w:sz w:val="24"/>
        </w:rPr>
        <w:t>Cada registo recebe um nível de identificação: nível 1, espécie confirmada por exemplar com voucher; nível 2, por fotografia diagnóstica por ambos os identificadores, admitido para plantas cultivadas ou alimentares inequívocas, como o alho; nível 3, correspondência provisória com espécies citadas na literatura (11), registada como hipótese; nível 4, não identificada. Nenhum binómio é dado como identificação sem exemplar ou fotografia, os nomes que designam mais de uma espécie são assinalados como polissémicos, e as misturas são decompostas nos componentes conhecidos.</w:t>
      </w:r>
    </w:p>
    <w:p>
      <w:pPr>
        <w:pStyle w:val="Heading2"/>
      </w:pPr>
      <w:r>
        <w:rPr>
          <w:rFonts w:ascii="Times New Roman" w:hAnsi="Times New Roman"/>
          <w:b/>
          <w:i w:val="0"/>
          <w:color w:val="000000"/>
          <w:sz w:val="24"/>
        </w:rPr>
        <w:t>8.10. Métodos de classificação do potencial de interacção</w:t>
      </w:r>
    </w:p>
    <w:p>
      <w:pPr>
        <w:jc w:val="both"/>
      </w:pPr>
      <w:r>
        <w:rPr>
          <w:rFonts w:ascii="Times New Roman" w:hAnsi="Times New Roman"/>
          <w:b w:val="0"/>
          <w:i w:val="0"/>
          <w:color w:val="000000"/>
          <w:sz w:val="24"/>
        </w:rPr>
        <w:t>Para cada doente, lista-se cada combinação entre uma planta usada nos 30 dias anteriores à admissão e cada anti-hipertensor em uso. As combinações com espécies de nível 3 ou 4 ficam na categoria 5; as de nível 1 ou 2 são pesquisadas em todas as fontes seguintes, porque a concordância entre bases de dados é fraca (17): as monografias da OMS sobre plantas medicinais seleccionadas (29); a PubMed, com uma estratégia definida a priori que combina o nome aceite, os sinónimos e o nome comum em inglês da espécie com o nome do anti-hipertensor e da sua classe (diurético tiazídico, inibidor da enzima de conversão da angiotensina, antagonista dos receptores da angiotensina II, bloqueador dos canais de cálcio, betabloqueador) e termos de interacção, farmacocinética e farmacodinâmica (19,20); e pelo menos uma base de dados de interacções de acesso livre. O Quadro 3 define as categorias, fixadas antes da recolha.</w:t>
      </w:r>
    </w:p>
    <w:p>
      <w:pPr>
        <w:keepNext/>
        <w:spacing w:before="160" w:after="60" w:line="240" w:lineRule="auto"/>
        <w:jc w:val="left"/>
      </w:pPr>
      <w:r>
        <w:rPr>
          <w:rFonts w:ascii="Times New Roman" w:hAnsi="Times New Roman"/>
          <w:b w:val="0"/>
          <w:i w:val="0"/>
          <w:color w:val="000000"/>
          <w:sz w:val="20"/>
        </w:rPr>
        <w:t>Quadro 3: Categorias do potencial de interacção entre planta e medicamento, definidas a priori</w:t>
      </w:r>
    </w:p>
    <w:tbl>
      <w:tblPr>
        <w:jc w:val="center"/>
        <w:tblLayout w:type="fixed"/>
        <w:tblLook w:firstColumn="1" w:firstRow="1" w:lastColumn="0" w:lastRow="0" w:noHBand="0" w:noVBand="1" w:val="04A0"/>
        <w:tblW w:w="9072" w:type="dxa"/>
      </w:tblPr>
      <w:tblGrid>
        <w:gridCol w:w="2381"/>
        <w:gridCol w:w="3969"/>
        <w:gridCol w:w="2721"/>
      </w:tblGrid>
      <w:tr>
        <w:trPr>
          <w:tblHeader w:val="true"/>
          <w:cantSplit w:val="true"/>
        </w:trPr>
        <w:tc>
          <w:tcPr>
            <w:tcW w:type="dxa" w:w="2381"/>
            <w:tcBorders>
              <w:left w:val="nil"/>
              <w:right w:val="nil"/>
              <w:insideH w:val="nil"/>
              <w:insideV w:val="nil"/>
              <w:top w:val="single" w:sz="8" w:color="000000"/>
              <w:bottom w:val="single" w:sz="6" w:color="000000"/>
            </w:tcBorders>
          </w:tcPr>
          <w:p>
            <w:pPr>
              <w:spacing w:before="20" w:after="20" w:line="240" w:lineRule="auto"/>
              <w:ind w:firstLine="0"/>
              <w:jc w:val="left"/>
            </w:pPr>
            <w:r/>
            <w:r>
              <w:rPr>
                <w:rFonts w:ascii="Times New Roman" w:hAnsi="Times New Roman"/>
                <w:b/>
                <w:i w:val="0"/>
                <w:color w:val="000000"/>
                <w:sz w:val="22"/>
              </w:rPr>
              <w:t>Categoria</w:t>
            </w:r>
          </w:p>
        </w:tc>
        <w:tc>
          <w:tcPr>
            <w:tcW w:type="dxa" w:w="3969"/>
            <w:tcBorders>
              <w:left w:val="nil"/>
              <w:right w:val="nil"/>
              <w:insideH w:val="nil"/>
              <w:insideV w:val="nil"/>
              <w:top w:val="single" w:sz="8" w:color="000000"/>
              <w:bottom w:val="single" w:sz="6" w:color="000000"/>
            </w:tcBorders>
          </w:tcPr>
          <w:p>
            <w:pPr>
              <w:spacing w:before="20" w:after="20" w:line="240" w:lineRule="auto"/>
              <w:ind w:firstLine="0"/>
              <w:jc w:val="left"/>
            </w:pPr>
            <w:r/>
            <w:r>
              <w:rPr>
                <w:rFonts w:ascii="Times New Roman" w:hAnsi="Times New Roman"/>
                <w:b/>
                <w:i w:val="0"/>
                <w:color w:val="000000"/>
                <w:sz w:val="22"/>
              </w:rPr>
              <w:t>Definição</w:t>
            </w:r>
          </w:p>
        </w:tc>
        <w:tc>
          <w:tcPr>
            <w:tcW w:type="dxa" w:w="2721"/>
            <w:tcBorders>
              <w:left w:val="nil"/>
              <w:right w:val="nil"/>
              <w:insideH w:val="nil"/>
              <w:insideV w:val="nil"/>
              <w:top w:val="single" w:sz="8" w:color="000000"/>
              <w:bottom w:val="single" w:sz="6" w:color="000000"/>
            </w:tcBorders>
          </w:tcPr>
          <w:p>
            <w:pPr>
              <w:spacing w:before="20" w:after="20" w:line="240" w:lineRule="auto"/>
              <w:ind w:firstLine="0"/>
              <w:jc w:val="left"/>
            </w:pPr>
            <w:r/>
            <w:r>
              <w:rPr>
                <w:rFonts w:ascii="Times New Roman" w:hAnsi="Times New Roman"/>
                <w:b/>
                <w:i w:val="0"/>
                <w:color w:val="000000"/>
                <w:sz w:val="22"/>
              </w:rPr>
              <w:t>Exemplo de fonte admitida</w:t>
            </w:r>
          </w:p>
        </w:tc>
      </w:tr>
      <w:tr>
        <w:trPr>
          <w:cantSplit w:val="true"/>
        </w:trPr>
        <w:tc>
          <w:tcPr>
            <w:tcW w:type="dxa" w:w="238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1. Interacção demonstrada em humanos</w:t>
            </w:r>
          </w:p>
        </w:tc>
        <w:tc>
          <w:tcPr>
            <w:tcW w:type="dxa" w:w="396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Alteração farmacocinética ou clínica descrita em humanos com a espécie e o medicamento ou outro da mesma classe</w:t>
            </w:r>
          </w:p>
        </w:tc>
        <w:tc>
          <w:tcPr>
            <w:tcW w:type="dxa" w:w="272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Ensaio clínico, estudo farmacocinético, relato de caso com causalidade avaliada</w:t>
            </w:r>
          </w:p>
        </w:tc>
      </w:tr>
      <w:tr>
        <w:trPr>
          <w:cantSplit w:val="true"/>
        </w:trPr>
        <w:tc>
          <w:tcPr>
            <w:tcW w:type="dxa" w:w="238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2. Potencial descrito sem demonstração em humanos</w:t>
            </w:r>
          </w:p>
        </w:tc>
        <w:tc>
          <w:tcPr>
            <w:tcW w:type="dxa" w:w="396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 xml:space="preserve">Mecanismo farmacocinético demonstrado </w:t>
            </w:r>
            <w:r>
              <w:rPr>
                <w:rFonts w:ascii="Times New Roman" w:hAnsi="Times New Roman"/>
                <w:b w:val="0"/>
                <w:i/>
                <w:color w:val="000000"/>
                <w:sz w:val="22"/>
              </w:rPr>
              <w:t>in vitro</w:t>
            </w:r>
            <w:r>
              <w:rPr>
                <w:rFonts w:ascii="Times New Roman" w:hAnsi="Times New Roman"/>
                <w:b w:val="0"/>
                <w:i w:val="0"/>
                <w:color w:val="000000"/>
                <w:sz w:val="22"/>
              </w:rPr>
              <w:t xml:space="preserve"> ou em animais, ou efeito farmacodinâmico aditivo descrito (hipoglicemiante, hipotensor, nefrotóxico, hepatotóxico)</w:t>
            </w:r>
          </w:p>
        </w:tc>
        <w:tc>
          <w:tcPr>
            <w:tcW w:type="dxa" w:w="272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Estudo em células ou em animais, monografia</w:t>
            </w:r>
          </w:p>
        </w:tc>
      </w:tr>
      <w:tr>
        <w:trPr>
          <w:cantSplit w:val="true"/>
        </w:trPr>
        <w:tc>
          <w:tcPr>
            <w:tcW w:type="dxa" w:w="238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3. Estudada em humanos sem interacção relevante</w:t>
            </w:r>
          </w:p>
        </w:tc>
        <w:tc>
          <w:tcPr>
            <w:tcW w:type="dxa" w:w="396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Estudo em humanos sem alteração clinicamente significativa</w:t>
            </w:r>
          </w:p>
        </w:tc>
        <w:tc>
          <w:tcPr>
            <w:tcW w:type="dxa" w:w="272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Estudo farmacocinético com resultado nulo</w:t>
            </w:r>
          </w:p>
        </w:tc>
      </w:tr>
      <w:tr>
        <w:trPr>
          <w:cantSplit w:val="true"/>
        </w:trPr>
        <w:tc>
          <w:tcPr>
            <w:tcW w:type="dxa" w:w="238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4. Sem informação</w:t>
            </w:r>
          </w:p>
        </w:tc>
        <w:tc>
          <w:tcPr>
            <w:tcW w:type="dxa" w:w="3969"/>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Nenhuma informação encontrada nas fontes consultadas; não equivale a segurança</w:t>
            </w:r>
          </w:p>
        </w:tc>
        <w:tc>
          <w:tcPr>
            <w:tcW w:type="dxa" w:w="272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Pesquisa completa sem resultados</w:t>
            </w:r>
          </w:p>
        </w:tc>
      </w:tr>
      <w:tr>
        <w:trPr>
          <w:cantSplit w:val="true"/>
        </w:trPr>
        <w:tc>
          <w:tcPr>
            <w:tcW w:type="dxa" w:w="2381"/>
            <w:tcBorders>
              <w:top w:val="nil"/>
              <w:left w:val="nil"/>
              <w:right w:val="nil"/>
              <w:insideH w:val="nil"/>
              <w:insideV w:val="nil"/>
              <w:bottom w:val="single" w:sz="8" w:color="000000"/>
            </w:tcBorders>
          </w:tcPr>
          <w:p>
            <w:pPr>
              <w:spacing w:before="20" w:after="20" w:line="240" w:lineRule="auto"/>
              <w:ind w:firstLine="0"/>
              <w:jc w:val="left"/>
            </w:pPr>
            <w:r/>
            <w:r>
              <w:rPr>
                <w:rFonts w:ascii="Times New Roman" w:hAnsi="Times New Roman"/>
                <w:b w:val="0"/>
                <w:i w:val="0"/>
                <w:color w:val="000000"/>
                <w:sz w:val="22"/>
              </w:rPr>
              <w:t>5. Não avaliável</w:t>
            </w:r>
          </w:p>
        </w:tc>
        <w:tc>
          <w:tcPr>
            <w:tcW w:type="dxa" w:w="3969"/>
            <w:tcBorders>
              <w:top w:val="nil"/>
              <w:left w:val="nil"/>
              <w:right w:val="nil"/>
              <w:insideH w:val="nil"/>
              <w:insideV w:val="nil"/>
              <w:bottom w:val="single" w:sz="8" w:color="000000"/>
            </w:tcBorders>
          </w:tcPr>
          <w:p>
            <w:pPr>
              <w:spacing w:before="20" w:after="20" w:line="240" w:lineRule="auto"/>
              <w:ind w:firstLine="0"/>
              <w:jc w:val="left"/>
            </w:pPr>
            <w:r/>
            <w:r>
              <w:rPr>
                <w:rFonts w:ascii="Times New Roman" w:hAnsi="Times New Roman"/>
                <w:b w:val="0"/>
                <w:i w:val="0"/>
                <w:color w:val="000000"/>
                <w:sz w:val="22"/>
              </w:rPr>
              <w:t>Espécie de nível 3 ou 4, nome polissémico ou mistura de composição desconhecida</w:t>
            </w:r>
          </w:p>
        </w:tc>
        <w:tc>
          <w:tcPr>
            <w:tcW w:type="dxa" w:w="2721"/>
            <w:tcBorders>
              <w:top w:val="nil"/>
              <w:left w:val="nil"/>
              <w:right w:val="nil"/>
              <w:insideH w:val="nil"/>
              <w:insideV w:val="nil"/>
              <w:bottom w:val="single" w:sz="8" w:color="000000"/>
            </w:tcBorders>
          </w:tcPr>
          <w:p>
            <w:pPr>
              <w:spacing w:before="20" w:after="20" w:line="240" w:lineRule="auto"/>
              <w:ind w:firstLine="0"/>
              <w:jc w:val="left"/>
            </w:pPr>
            <w:r/>
            <w:r>
              <w:rPr>
                <w:rFonts w:ascii="Times New Roman" w:hAnsi="Times New Roman"/>
                <w:b w:val="0"/>
                <w:i w:val="0"/>
                <w:color w:val="000000"/>
                <w:sz w:val="22"/>
              </w:rPr>
              <w:t>Não se aplica</w:t>
            </w:r>
          </w:p>
        </w:tc>
      </w:tr>
    </w:tbl>
    <w:p>
      <w:pPr>
        <w:spacing w:before="60" w:after="200" w:line="240" w:lineRule="auto"/>
        <w:jc w:val="left"/>
      </w:pPr>
      <w:r>
        <w:rPr>
          <w:rFonts w:ascii="Times New Roman" w:hAnsi="Times New Roman"/>
          <w:b w:val="0"/>
          <w:i w:val="0"/>
          <w:color w:val="000000"/>
          <w:sz w:val="20"/>
        </w:rPr>
        <w:t>Fonte: Elaboração própria (2026).</w:t>
      </w:r>
    </w:p>
    <w:p>
      <w:pPr>
        <w:jc w:val="both"/>
      </w:pPr>
      <w:r>
        <w:rPr>
          <w:rFonts w:ascii="Times New Roman" w:hAnsi="Times New Roman"/>
          <w:b w:val="0"/>
          <w:i w:val="0"/>
          <w:color w:val="000000"/>
          <w:sz w:val="24"/>
        </w:rPr>
        <w:t>A categoria 3 existe porque a evidência laboratorial ou em animais nem sempre se traduz na mesma magnitude no doente, como nos estudos farmacocinéticos e farmacodinâmicos já citados (19,20): uma combinação só passa à categoria 1 com estudo em humanos com a espécie e o anti-hipertensor, ou outro da mesma classe. Quando as fontes divergem, a evidência em humanos prevalece sobre a laboratorial e, entre estudos em humanos, o resultado positivo prevalece; um resultado nulo só vale para o anti-hipertensor estudado; e o uso tradicional da planta para baixar a tensão não conta, por si só, como evidência de efeito aditivo. Regista-se ainda o mecanismo (farmacocinético, farmacodinâmico ou desconhecido), a direcção do efeito e a forma de preparação estudada na fonte, porque o efeito pode depender do material (19). Dois avaliadores, o estudante e um segundo farmacêutico, classificam cada combinação de forma independente, sem acesso à identidade dos doentes; a concordância é medida pelo kappa de Cohen, e as discordâncias são resolvidas por consenso ou por um terceiro avaliador.</w:t>
      </w:r>
    </w:p>
    <w:p>
      <w:pPr>
        <w:pStyle w:val="Heading2"/>
      </w:pPr>
      <w:r>
        <w:rPr>
          <w:rFonts w:ascii="Times New Roman" w:hAnsi="Times New Roman"/>
          <w:b/>
          <w:i w:val="0"/>
          <w:color w:val="000000"/>
          <w:sz w:val="24"/>
        </w:rPr>
        <w:t>8.11. Processamento e análise dos dados</w:t>
      </w:r>
    </w:p>
    <w:p>
      <w:pPr>
        <w:jc w:val="both"/>
      </w:pPr>
      <w:r>
        <w:rPr>
          <w:rFonts w:ascii="Times New Roman" w:hAnsi="Times New Roman"/>
          <w:b w:val="0"/>
          <w:i w:val="0"/>
          <w:color w:val="000000"/>
          <w:sz w:val="24"/>
        </w:rPr>
        <w:t>Os dados digitados em EpiData serão exportados para o Statistical Package for the Social Sciences (SPSS), versão 26 ou superior, e para o R, usado na regressão de Poisson do objectivo 5. O nível de significância é de 5% (p&lt;0,05) e todas as proporções são apresentadas com IC95%. As características dos participantes são descritas para o conjunto da amostra e por departamento de internamento, com frequências, médias e desvios padrão, ou medianas e intervalos interquartis quando a distribuição não for normal.</w:t>
      </w:r>
    </w:p>
    <w:p>
      <w:pPr>
        <w:jc w:val="both"/>
      </w:pPr>
      <w:r>
        <w:rPr>
          <w:rFonts w:ascii="Times New Roman" w:hAnsi="Times New Roman"/>
          <w:b w:val="0"/>
          <w:i w:val="0"/>
          <w:color w:val="000000"/>
          <w:sz w:val="24"/>
        </w:rPr>
        <w:t>Para o objectivo 1, estima-se a proporção de uso concomitante nos 30 dias anteriores à admissão e de uso nos últimos 12 meses, no conjunto e por departamento de internamento; a comparação entre departamentos usa o teste do qui-quadrado. Para o objectivo 2, apresentam-se o número de citações por nome vernáculo e por espécie, a proporção de utilizadores que cita cada espécie, as partes, preparações, vias, frequências, motivos e fontes, a proporção que consultou praticantes, o custo mensal em mediana e intervalo interquartil, a proporção de utilizadores que reduziu ou suspendeu o anti-hipertensor por causa das plantas, a distribuição dos níveis de identificação e o kappa entre identificadores.</w:t>
      </w:r>
    </w:p>
    <w:p>
      <w:pPr>
        <w:jc w:val="both"/>
      </w:pPr>
      <w:r>
        <w:rPr>
          <w:rFonts w:ascii="Times New Roman" w:hAnsi="Times New Roman"/>
          <w:b w:val="0"/>
          <w:i w:val="0"/>
          <w:color w:val="000000"/>
          <w:sz w:val="24"/>
        </w:rPr>
        <w:t>Para o objectivo 3, estimam-se a proporção de utilizadores que revelaram o uso, a quem o revelaram, as razões da não revelação (resposta múltipla), a proporção de todos os doentes a quem algum profissional perguntou, a proporção de processos com registo do uso e a percepção do risco da combinação. A hipótese deste objectivo é testada pelo qui-quadrado ou pelo teste exacto de Fisher, com a razão de prevalências (RP) e o respectivo IC95%, opondo a revelação quando perguntado à revelação espontânea; a resposta «não se lembra» é tratada como dado em falta. Para o objectivo 4, apresentam-se o kappa entre avaliadores, o número de combinações por categoria e por classe de anti-hipertensor, a proporção de utilizadores e de todos os doentes com pelo menos uma combinação de categoria 1 ou 2, acompanhada da proporção com combinações não avaliáveis, e uma tabela de espécies, anti-hipertensores, categorias, mecanismos e fontes. A concordância é interpretada segundo McHugh (35).</w:t>
      </w:r>
    </w:p>
    <w:p>
      <w:pPr>
        <w:jc w:val="both"/>
      </w:pPr>
      <w:r>
        <w:rPr>
          <w:rFonts w:ascii="Times New Roman" w:hAnsi="Times New Roman"/>
          <w:b w:val="0"/>
          <w:i w:val="0"/>
          <w:color w:val="000000"/>
          <w:sz w:val="24"/>
        </w:rPr>
        <w:t>Para o objectivo 5, a associação entre o uso concomitante e a gravidade do internamento, a escolaridade e o tempo desde o diagnóstico é testada, na análise bivariada, pelo qui-quadrado com a RP bruta. Como a proporção esperada de uso é superior a 10%, o OR sobrestimaria a associação, pelo que o modelo principal é a regressão de Poisson com estimador de variância de Huber e White, que estima a razão de prevalências ajustada (RPa). Com cerca de 45 doentes com uso concomitante esperados nos 205 planeados, a regra de pelo menos 10 eventos por parâmetro (40) limita o modelo a quatro parâmetros: entram, fixados a priori por corresponderem aos objectivos analíticos do estudo, a gravidade do internamento, a escolaridade e o tempo desde o diagnóstico; a idade entra em quarto lugar apenas se o número de eventos observado sustentar os quatro parâmetros, caso contrário o modelo fica com três e a idade é reportada só na análise bivariada. A colinearidade é verificada pelo factor de inflação da variância (limite de 5), e a regressão logística é apresentada como análise de sensibilidade. As variáveis com mais de 5% de valores em falta são descritas, a análise principal usa os casos completos e o efeito das perdas é discutido.</w:t>
      </w:r>
    </w:p>
    <w:p>
      <w:pPr>
        <w:pStyle w:val="Heading2"/>
      </w:pPr>
      <w:r>
        <w:rPr>
          <w:rFonts w:ascii="Times New Roman" w:hAnsi="Times New Roman"/>
          <w:b/>
          <w:i w:val="0"/>
          <w:color w:val="000000"/>
          <w:sz w:val="24"/>
        </w:rPr>
        <w:t>8.12. Limitações do estudo e estratégias de mitigação</w:t>
      </w:r>
    </w:p>
    <w:p>
      <w:pPr>
        <w:jc w:val="both"/>
      </w:pPr>
      <w:r>
        <w:rPr>
          <w:rFonts w:ascii="Times New Roman" w:hAnsi="Times New Roman"/>
          <w:b w:val="0"/>
          <w:i w:val="0"/>
          <w:color w:val="000000"/>
          <w:sz w:val="24"/>
        </w:rPr>
        <w:t>O Quadro 4 resume as limitações previstas, a sua consequência e a forma de as mitigar; a mais importante é a subnotificação do uso, por receio de que a resposta afecte o atendimento.</w:t>
      </w:r>
    </w:p>
    <w:p>
      <w:pPr>
        <w:keepNext/>
        <w:spacing w:before="160" w:after="60" w:line="240" w:lineRule="auto"/>
        <w:jc w:val="left"/>
      </w:pPr>
      <w:r>
        <w:rPr>
          <w:rFonts w:ascii="Times New Roman" w:hAnsi="Times New Roman"/>
          <w:b w:val="0"/>
          <w:i w:val="0"/>
          <w:color w:val="000000"/>
          <w:sz w:val="20"/>
        </w:rPr>
        <w:t>Quadro 4: Limitações previstas e estratégias de mitigação</w:t>
      </w:r>
    </w:p>
    <w:tbl>
      <w:tblPr>
        <w:jc w:val="center"/>
        <w:tblLayout w:type="fixed"/>
        <w:tblLook w:firstColumn="1" w:firstRow="1" w:lastColumn="0" w:lastRow="0" w:noHBand="0" w:noVBand="1" w:val="04A0"/>
        <w:tblW w:w="9072" w:type="dxa"/>
      </w:tblPr>
      <w:tblGrid>
        <w:gridCol w:w="2835"/>
        <w:gridCol w:w="2835"/>
        <w:gridCol w:w="3402"/>
      </w:tblGrid>
      <w:tr>
        <w:trPr>
          <w:tblHeader w:val="true"/>
          <w:cantSplit w:val="true"/>
        </w:trPr>
        <w:tc>
          <w:tcPr>
            <w:tcW w:type="dxa" w:w="2835"/>
            <w:tcBorders>
              <w:left w:val="nil"/>
              <w:right w:val="nil"/>
              <w:insideH w:val="nil"/>
              <w:insideV w:val="nil"/>
              <w:top w:val="single" w:sz="8" w:color="000000"/>
              <w:bottom w:val="single" w:sz="6" w:color="000000"/>
            </w:tcBorders>
          </w:tcPr>
          <w:p>
            <w:pPr>
              <w:spacing w:before="20" w:after="20" w:line="240" w:lineRule="auto"/>
              <w:ind w:firstLine="0"/>
              <w:jc w:val="left"/>
            </w:pPr>
            <w:r/>
            <w:r>
              <w:rPr>
                <w:rFonts w:ascii="Times New Roman" w:hAnsi="Times New Roman"/>
                <w:b/>
                <w:i w:val="0"/>
                <w:color w:val="000000"/>
                <w:sz w:val="22"/>
              </w:rPr>
              <w:t>Limitação</w:t>
            </w:r>
          </w:p>
        </w:tc>
        <w:tc>
          <w:tcPr>
            <w:tcW w:type="dxa" w:w="2835"/>
            <w:tcBorders>
              <w:left w:val="nil"/>
              <w:right w:val="nil"/>
              <w:insideH w:val="nil"/>
              <w:insideV w:val="nil"/>
              <w:top w:val="single" w:sz="8" w:color="000000"/>
              <w:bottom w:val="single" w:sz="6" w:color="000000"/>
            </w:tcBorders>
          </w:tcPr>
          <w:p>
            <w:pPr>
              <w:spacing w:before="20" w:after="20" w:line="240" w:lineRule="auto"/>
              <w:ind w:firstLine="0"/>
              <w:jc w:val="left"/>
            </w:pPr>
            <w:r/>
            <w:r>
              <w:rPr>
                <w:rFonts w:ascii="Times New Roman" w:hAnsi="Times New Roman"/>
                <w:b/>
                <w:i w:val="0"/>
                <w:color w:val="000000"/>
                <w:sz w:val="22"/>
              </w:rPr>
              <w:t>Consequência</w:t>
            </w:r>
          </w:p>
        </w:tc>
        <w:tc>
          <w:tcPr>
            <w:tcW w:type="dxa" w:w="3402"/>
            <w:tcBorders>
              <w:left w:val="nil"/>
              <w:right w:val="nil"/>
              <w:insideH w:val="nil"/>
              <w:insideV w:val="nil"/>
              <w:top w:val="single" w:sz="8" w:color="000000"/>
              <w:bottom w:val="single" w:sz="6" w:color="000000"/>
            </w:tcBorders>
          </w:tcPr>
          <w:p>
            <w:pPr>
              <w:spacing w:before="20" w:after="20" w:line="240" w:lineRule="auto"/>
              <w:ind w:firstLine="0"/>
              <w:jc w:val="left"/>
            </w:pPr>
            <w:r/>
            <w:r>
              <w:rPr>
                <w:rFonts w:ascii="Times New Roman" w:hAnsi="Times New Roman"/>
                <w:b/>
                <w:i w:val="0"/>
                <w:color w:val="000000"/>
                <w:sz w:val="22"/>
              </w:rPr>
              <w:t>Mitigação</w:t>
            </w:r>
          </w:p>
        </w:tc>
      </w:tr>
      <w:tr>
        <w:trPr>
          <w:cantSplit w:val="true"/>
        </w:trPr>
        <w:tc>
          <w:tcPr>
            <w:tcW w:type="dxa" w:w="283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Viés de desejabilidade social e de memória</w:t>
            </w:r>
          </w:p>
        </w:tc>
        <w:tc>
          <w:tcPr>
            <w:tcW w:type="dxa" w:w="283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Subestimação do uso e da não revelação</w:t>
            </w:r>
          </w:p>
        </w:tc>
        <w:tc>
          <w:tcPr>
            <w:tcW w:type="dxa" w:w="3402"/>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Garantia de ausência de consequências, entrevistadores externos, frase de normalização, exemplos, período principal de 30 dias</w:t>
            </w:r>
          </w:p>
        </w:tc>
      </w:tr>
      <w:tr>
        <w:trPr>
          <w:cantSplit w:val="true"/>
        </w:trPr>
        <w:tc>
          <w:tcPr>
            <w:tcW w:type="dxa" w:w="283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Estudo num único hospital e recrutamento apenas de internados</w:t>
            </w:r>
          </w:p>
        </w:tc>
        <w:tc>
          <w:tcPr>
            <w:tcW w:type="dxa" w:w="283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Resultados não generalizáveis à consulta externa nem a outras unidades; doentes que morrem ou são transferidos antes da entrevista ficam por incluir</w:t>
            </w:r>
          </w:p>
        </w:tc>
        <w:tc>
          <w:tcPr>
            <w:tcW w:type="dxa" w:w="3402"/>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Descrição do HCN e dos dois departamentos; registo dos óbitos e transferências precoces; discussão da direcção provável do viés</w:t>
            </w:r>
          </w:p>
        </w:tc>
      </w:tr>
      <w:tr>
        <w:trPr>
          <w:cantSplit w:val="true"/>
        </w:trPr>
        <w:tc>
          <w:tcPr>
            <w:tcW w:type="dxa" w:w="283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Identificação botânica incompleta (produtos secos, misturas, nomes polissémicos)</w:t>
            </w:r>
          </w:p>
        </w:tc>
        <w:tc>
          <w:tcPr>
            <w:tcW w:type="dxa" w:w="283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Espécies não identificadas e combinações não avaliáveis</w:t>
            </w:r>
          </w:p>
        </w:tc>
        <w:tc>
          <w:tcPr>
            <w:tcW w:type="dxa" w:w="3402"/>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Níveis de identificação, voucher, dois identificadores, proibição de binómios sem exemplar ou fotografia</w:t>
            </w:r>
          </w:p>
        </w:tc>
      </w:tr>
      <w:tr>
        <w:trPr>
          <w:cantSplit w:val="true"/>
        </w:trPr>
        <w:tc>
          <w:tcPr>
            <w:tcW w:type="dxa" w:w="283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Fontes de interacção com fraca cobertura de plantas africanas e discordantes</w:t>
            </w:r>
          </w:p>
        </w:tc>
        <w:tc>
          <w:tcPr>
            <w:tcW w:type="dxa" w:w="283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Potencial subestimado ou mal classificado</w:t>
            </w:r>
          </w:p>
        </w:tc>
        <w:tc>
          <w:tcPr>
            <w:tcW w:type="dxa" w:w="3402"/>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Várias fontes por combinação, categoria «sem informação» distinta de segurança, dois avaliadores e kappa</w:t>
            </w:r>
          </w:p>
        </w:tc>
      </w:tr>
      <w:tr>
        <w:trPr>
          <w:cantSplit w:val="true"/>
        </w:trPr>
        <w:tc>
          <w:tcPr>
            <w:tcW w:type="dxa" w:w="283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Desenho transversal</w:t>
            </w:r>
          </w:p>
        </w:tc>
        <w:tc>
          <w:tcPr>
            <w:tcW w:type="dxa" w:w="283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Sem causalidade nem prova de interacção clínica</w:t>
            </w:r>
          </w:p>
        </w:tc>
        <w:tc>
          <w:tcPr>
            <w:tcW w:type="dxa" w:w="3402"/>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Linguagem de potencial descrito; recomendação de estudos clínicos</w:t>
            </w:r>
          </w:p>
        </w:tc>
      </w:tr>
      <w:tr>
        <w:trPr>
          <w:cantSplit w:val="true"/>
        </w:trPr>
        <w:tc>
          <w:tcPr>
            <w:tcW w:type="dxa" w:w="283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Poder limitado para diferenças pequenas, para o objectivo 3 e para o objectivo 5</w:t>
            </w:r>
          </w:p>
        </w:tc>
        <w:tc>
          <w:tcPr>
            <w:tcW w:type="dxa" w:w="2835"/>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Associações reais podem não atingir significância</w:t>
            </w:r>
          </w:p>
        </w:tc>
        <w:tc>
          <w:tcPr>
            <w:tcW w:type="dxa" w:w="3402"/>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Declaração do poder, apresentação de IC95%, análise exploratória</w:t>
            </w:r>
          </w:p>
        </w:tc>
      </w:tr>
      <w:tr>
        <w:trPr>
          <w:cantSplit w:val="true"/>
        </w:trPr>
        <w:tc>
          <w:tcPr>
            <w:tcW w:type="dxa" w:w="2835"/>
            <w:tcBorders>
              <w:top w:val="nil"/>
              <w:left w:val="nil"/>
              <w:right w:val="nil"/>
              <w:insideH w:val="nil"/>
              <w:insideV w:val="nil"/>
              <w:bottom w:val="single" w:sz="8" w:color="000000"/>
            </w:tcBorders>
          </w:tcPr>
          <w:p>
            <w:pPr>
              <w:spacing w:before="20" w:after="20" w:line="240" w:lineRule="auto"/>
              <w:ind w:firstLine="0"/>
              <w:jc w:val="left"/>
            </w:pPr>
            <w:r/>
            <w:r>
              <w:rPr>
                <w:rFonts w:ascii="Times New Roman" w:hAnsi="Times New Roman"/>
                <w:b w:val="0"/>
                <w:i w:val="0"/>
                <w:color w:val="000000"/>
                <w:sz w:val="22"/>
              </w:rPr>
              <w:t>Registo incompleto dos anti-hipertensores ou do diagnóstico no processo</w:t>
            </w:r>
          </w:p>
        </w:tc>
        <w:tc>
          <w:tcPr>
            <w:tcW w:type="dxa" w:w="2835"/>
            <w:tcBorders>
              <w:top w:val="nil"/>
              <w:left w:val="nil"/>
              <w:right w:val="nil"/>
              <w:insideH w:val="nil"/>
              <w:insideV w:val="nil"/>
              <w:bottom w:val="single" w:sz="8" w:color="000000"/>
            </w:tcBorders>
          </w:tcPr>
          <w:p>
            <w:pPr>
              <w:spacing w:before="20" w:after="20" w:line="240" w:lineRule="auto"/>
              <w:ind w:firstLine="0"/>
              <w:jc w:val="left"/>
            </w:pPr>
            <w:r/>
            <w:r>
              <w:rPr>
                <w:rFonts w:ascii="Times New Roman" w:hAnsi="Times New Roman"/>
                <w:b w:val="0"/>
                <w:i w:val="0"/>
                <w:color w:val="000000"/>
                <w:sz w:val="22"/>
              </w:rPr>
              <w:t>Combinações não detectadas; classificação da gravidade imprecisa</w:t>
            </w:r>
          </w:p>
        </w:tc>
        <w:tc>
          <w:tcPr>
            <w:tcW w:type="dxa" w:w="3402"/>
            <w:tcBorders>
              <w:top w:val="nil"/>
              <w:left w:val="nil"/>
              <w:right w:val="nil"/>
              <w:insideH w:val="nil"/>
              <w:insideV w:val="nil"/>
              <w:bottom w:val="single" w:sz="8" w:color="000000"/>
            </w:tcBorders>
          </w:tcPr>
          <w:p>
            <w:pPr>
              <w:spacing w:before="20" w:after="20" w:line="240" w:lineRule="auto"/>
              <w:ind w:firstLine="0"/>
              <w:jc w:val="left"/>
            </w:pPr>
            <w:r/>
            <w:r>
              <w:rPr>
                <w:rFonts w:ascii="Times New Roman" w:hAnsi="Times New Roman"/>
                <w:b w:val="0"/>
                <w:i w:val="0"/>
                <w:color w:val="000000"/>
                <w:sz w:val="22"/>
              </w:rPr>
              <w:t>Verificação cruzada com o doente, a família, o cartão e a receita; diagnóstico de admissão confirmado pelo clínico assistente</w:t>
            </w:r>
          </w:p>
        </w:tc>
      </w:tr>
    </w:tbl>
    <w:p>
      <w:pPr>
        <w:spacing w:before="60" w:after="200" w:line="240" w:lineRule="auto"/>
        <w:jc w:val="left"/>
      </w:pPr>
      <w:r>
        <w:rPr>
          <w:rFonts w:ascii="Times New Roman" w:hAnsi="Times New Roman"/>
          <w:b w:val="0"/>
          <w:i w:val="0"/>
          <w:color w:val="000000"/>
          <w:sz w:val="20"/>
        </w:rPr>
        <w:t>Fonte: Elaboração própria (2026).</w:t>
      </w:r>
    </w:p>
    <w:p>
      <w:pPr>
        <w:pStyle w:val="Heading2"/>
      </w:pPr>
      <w:r>
        <w:rPr>
          <w:rFonts w:ascii="Times New Roman" w:hAnsi="Times New Roman"/>
          <w:b/>
          <w:i w:val="0"/>
          <w:color w:val="000000"/>
          <w:sz w:val="24"/>
        </w:rPr>
        <w:t>8.13. Considerações éticas</w:t>
      </w:r>
    </w:p>
    <w:p>
      <w:pPr>
        <w:jc w:val="both"/>
      </w:pPr>
      <w:r>
        <w:rPr>
          <w:rFonts w:ascii="Times New Roman" w:hAnsi="Times New Roman"/>
          <w:b w:val="0"/>
          <w:i w:val="0"/>
          <w:color w:val="000000"/>
          <w:sz w:val="24"/>
        </w:rPr>
        <w:t>O protocolo será submetido ao Comité Institucional de Bioética para a Saúde da Universidade Lúrio (CIBS-UniLúrio), e a recolha só começará depois da aprovação e das autorizações da Direcção Clínica do HCN e da direcção dos Departamentos de Medicina I e II. O estudo segue a Declaração de Helsínquia na revisão de 2024 (41). A participação é voluntária e exige consentimento informado escrito; quem não souber ler ouve a leitura integral da folha de informação e confirma o consentimento por impressão digital, na presença de testemunha imparcial (Apêndices C e D). O doente sem capacidade para consentir só é convidado depois de a recuperar, avaliada em cada visita.</w:t>
      </w:r>
    </w:p>
    <w:p>
      <w:pPr>
        <w:jc w:val="both"/>
      </w:pPr>
      <w:r>
        <w:rPr>
          <w:rFonts w:ascii="Times New Roman" w:hAnsi="Times New Roman"/>
          <w:b w:val="0"/>
          <w:i w:val="0"/>
          <w:color w:val="000000"/>
          <w:sz w:val="24"/>
        </w:rPr>
        <w:t>Antes de qualquer pergunta, o entrevistador garante de forma explícita que a participação e as respostas não têm qualquer consequência no tratamento, na permanência no internamento ou na relação com a equipa clínica, e que o estudo não faz juízo sobre as práticas do doente. A entrevista é feita num espaço tão reservado quanto a enfermaria permitir. Os questionários usam apenas códigos; a lista que liga o código ao número do processo fica guardada à parte, em caixa com cadeado, só serve para evitar inclusões repetidas e para a referenciação, e é destruída no fim do estudo. Os resultados são apresentados apenas de forma agregada. O risco é mínimo, limitado ao tempo da entrevista, e o benefício directo é o aconselhamento sobre o uso seguro de plantas com os anti-hipertensores.</w:t>
      </w:r>
    </w:p>
    <w:p>
      <w:pPr>
        <w:jc w:val="both"/>
      </w:pPr>
      <w:r>
        <w:rPr>
          <w:rFonts w:ascii="Times New Roman" w:hAnsi="Times New Roman"/>
          <w:b w:val="0"/>
          <w:i w:val="0"/>
          <w:color w:val="000000"/>
          <w:sz w:val="24"/>
        </w:rPr>
        <w:t>Existe uma via de referenciação definida. Se a entrevista revelar que o doente reduziu ou suspendeu o anti-hipertensor, ou usa uma combinação que a lista de referência da equipa indique como interacção demonstrada em humanos, o entrevistador aconselha a não suspender o medicamento e, com o acordo do doente, informa no mesmo dia o clínico responsável, com nota escrita. Se uma combinação de categoria 1 só for identificada depois da classificação, já com o doente de alta, e este o tiver autorizado no consentimento, o investigador informa o clínico assistente através da direcção do departamento.</w:t>
      </w:r>
    </w:p>
    <w:p>
      <w:pPr>
        <w:jc w:val="both"/>
      </w:pPr>
      <w:r>
        <w:rPr>
          <w:rFonts w:ascii="Times New Roman" w:hAnsi="Times New Roman"/>
          <w:b w:val="0"/>
          <w:i w:val="0"/>
          <w:color w:val="000000"/>
          <w:sz w:val="24"/>
        </w:rPr>
        <w:t>O conhecimento tradicional é tratado com respeito: as receitas e combinações descritas por doentes, vendedores ou praticantes não são divulgadas de forma individual nem usadas para fins comerciais, os praticantes que colaborem na recolha de exemplares dão consentimento prévio informado, e as colheitas limitam-se ao material necessário, com autorização de quem cultiva a planta e licença de colheita, se exigida [confirmar junto dos serviços provinciais de florestas].</w:t>
      </w:r>
    </w:p>
    <w:p>
      <w:pPr>
        <w:pStyle w:val="Heading1"/>
      </w:pPr>
      <w:r>
        <w:rPr>
          <w:rFonts w:ascii="Times New Roman" w:hAnsi="Times New Roman"/>
          <w:b/>
          <w:i w:val="0"/>
          <w:color w:val="000000"/>
          <w:sz w:val="26"/>
        </w:rPr>
        <w:t>9. RESULTADOS ESPERADOS</w:t>
      </w:r>
    </w:p>
    <w:p>
      <w:pPr>
        <w:jc w:val="both"/>
      </w:pPr>
      <w:r>
        <w:rPr>
          <w:rFonts w:ascii="Times New Roman" w:hAnsi="Times New Roman"/>
          <w:b w:val="0"/>
          <w:i w:val="0"/>
          <w:color w:val="000000"/>
          <w:sz w:val="24"/>
        </w:rPr>
        <w:t>Os resultados esperados seguem a ordem dos objectivos específicos, sem antecipar valores.</w:t>
      </w:r>
    </w:p>
    <w:p>
      <w:pPr>
        <w:pStyle w:val="ListBullet"/>
        <w:jc w:val="both"/>
      </w:pPr>
      <w:r>
        <w:rPr>
          <w:rFonts w:ascii="Times New Roman" w:hAnsi="Times New Roman"/>
          <w:b w:val="0"/>
          <w:i w:val="0"/>
          <w:color w:val="000000"/>
          <w:sz w:val="24"/>
        </w:rPr>
        <w:t>Objectivo 1: estimativa da proporção de doentes internados com uso concomitante nos 30 dias anteriores à admissão, que se espera próxima dos valores observados em hipertensos internados na Tanzânia e em ambulatório de cardiologia na África (5,6), e que dimensiona a necessidade de perguntar pelo uso na admissão de cada doente hipertenso.</w:t>
      </w:r>
    </w:p>
    <w:p>
      <w:pPr>
        <w:pStyle w:val="ListBullet"/>
        <w:jc w:val="both"/>
      </w:pPr>
      <w:r>
        <w:rPr>
          <w:rFonts w:ascii="Times New Roman" w:hAnsi="Times New Roman"/>
          <w:b w:val="0"/>
          <w:i w:val="0"/>
          <w:color w:val="000000"/>
          <w:sz w:val="24"/>
        </w:rPr>
        <w:t>Objectivo 2: lista das espécies e preparações usadas, com nome vernáculo, nome aceite, nível de identificação e número de voucher, motivos, fontes, custo e proporção de utilizadores que reduziu ou suspendeu o anti-hipertensor, mistura previsível de plantas alimentares cultivadas e de espécies nativas de mercado, estas com maior dificuldade de identificação, servindo de referência para o Departamento de Farmácia do HCN.</w:t>
      </w:r>
    </w:p>
    <w:p>
      <w:pPr>
        <w:pStyle w:val="ListBullet"/>
        <w:jc w:val="both"/>
      </w:pPr>
      <w:r>
        <w:rPr>
          <w:rFonts w:ascii="Times New Roman" w:hAnsi="Times New Roman"/>
          <w:b w:val="0"/>
          <w:i w:val="0"/>
          <w:color w:val="000000"/>
          <w:sz w:val="24"/>
        </w:rPr>
        <w:t>Objectivo 3: proporção de utilizadores que revelaram o uso e de doentes a quem foi perguntado, esperada baixa como nos estudos africanos com hipertensos (15,16), resultado que sustenta a inclusão da pergunta na anamnese farmacêutica hospitalar.</w:t>
      </w:r>
    </w:p>
    <w:p>
      <w:pPr>
        <w:pStyle w:val="ListBullet"/>
        <w:jc w:val="both"/>
      </w:pPr>
      <w:r>
        <w:rPr>
          <w:rFonts w:ascii="Times New Roman" w:hAnsi="Times New Roman"/>
          <w:b w:val="0"/>
          <w:i w:val="0"/>
          <w:color w:val="000000"/>
          <w:sz w:val="24"/>
        </w:rPr>
        <w:t>Objectivo 4: tabela de combinações por categoria de potencial de interacção, esperando-se muitas sem informação ou só com evidência laboratorial (18-20) e um número menor com interacção demonstrada em humanos, o que orienta o aconselhamento e a farmacovigilância.</w:t>
      </w:r>
    </w:p>
    <w:p>
      <w:pPr>
        <w:pStyle w:val="ListBullet"/>
        <w:jc w:val="both"/>
      </w:pPr>
      <w:r>
        <w:rPr>
          <w:rFonts w:ascii="Times New Roman" w:hAnsi="Times New Roman"/>
          <w:b w:val="0"/>
          <w:i w:val="0"/>
          <w:color w:val="000000"/>
          <w:sz w:val="24"/>
        </w:rPr>
        <w:t>Objectivo 5: razão de prevalências ajustada para a gravidade do internamento, a escolaridade e o tempo desde o diagnóstico; espera-se, com base na associação já descrita com a hipertensão complicada (5), maior uso concomitante nos doentes internados por complicação, embora com poder limitado, o que indica os doentes a quem dirigir a pergunta e o aconselhamento com prioridade.</w:t>
      </w:r>
    </w:p>
    <w:p>
      <w:pPr>
        <w:pStyle w:val="Heading1"/>
      </w:pPr>
      <w:r>
        <w:rPr>
          <w:rFonts w:ascii="Times New Roman" w:hAnsi="Times New Roman"/>
          <w:b/>
          <w:i w:val="0"/>
          <w:color w:val="000000"/>
          <w:sz w:val="26"/>
        </w:rPr>
        <w:t>10. DIVULGAÇÃO DOS RESULTADOS</w:t>
      </w:r>
    </w:p>
    <w:p>
      <w:pPr>
        <w:jc w:val="both"/>
      </w:pPr>
      <w:r>
        <w:rPr>
          <w:rFonts w:ascii="Times New Roman" w:hAnsi="Times New Roman"/>
          <w:b w:val="0"/>
          <w:i w:val="0"/>
          <w:color w:val="000000"/>
          <w:sz w:val="24"/>
        </w:rPr>
        <w:t>Os resultados serão apresentados na defesa pública do trabalho na Faculdade de Ciências de Saúde da Universidade Lúrio e num relatório escrito entregue à Direcção Clínica do HCN, à direcção dos Departamentos de Medicina I e II e ao Departamento de Farmácia, com a proposta de uma pergunta padronizada sobre plantas para a ficha de admissão e a reconciliação terapêutica. A lista de espécies identificadas, com os números de voucher, será partilhada com o herbário de depósito. Prevê-se a submissão de um artigo a uma revista com revisão por pares e a apresentação em jornadas científicas. A devolução à comunidade inclui um folheto em português e emakhuwa, distribuído no internamento e na consulta externa de hipertensão, que convida doentes e famílias a falar das plantas que usam ao farmacêutico e ao clínico, e uma sessão com associações de praticantes de medicina tradicional para apresentar os resultados agregados.</w:t>
      </w:r>
    </w:p>
    <w:p>
      <w:pPr>
        <w:pStyle w:val="Heading1"/>
      </w:pPr>
      <w:r>
        <w:rPr>
          <w:rFonts w:ascii="Times New Roman" w:hAnsi="Times New Roman"/>
          <w:b/>
          <w:i w:val="0"/>
          <w:color w:val="000000"/>
          <w:sz w:val="26"/>
        </w:rPr>
        <w:t>11. CRONOGRAMA DE ACTIVIDADES</w:t>
      </w:r>
    </w:p>
    <w:p>
      <w:pPr>
        <w:jc w:val="both"/>
      </w:pPr>
      <w:r>
        <w:rPr>
          <w:rFonts w:ascii="Times New Roman" w:hAnsi="Times New Roman"/>
          <w:b w:val="0"/>
          <w:i w:val="0"/>
          <w:color w:val="000000"/>
          <w:sz w:val="24"/>
        </w:rPr>
        <w:t>O Quadro 5 distribui as actividades pelos 12 meses do estudo, de Outubro de 2026 a Setembro de 2027. O pré-teste decorre em Fevereiro, depois da aprovação ética; as entrevistas aos doentes internados estão planeadas para quatro meses, com possibilidade de prolongamento até Agosto se o número de internamentos elegíveis for menor do que o cenário central assumido; a classificação do potencial de interacção prolonga-se até Agosto, à medida que as espécies são confirmadas, e a defesa está prevista para Setembro de 2027.</w:t>
      </w:r>
    </w:p>
    <w:p>
      <w:pPr>
        <w:keepNext/>
        <w:spacing w:before="160" w:after="60" w:line="240" w:lineRule="auto"/>
        <w:jc w:val="left"/>
      </w:pPr>
      <w:r>
        <w:rPr>
          <w:rFonts w:ascii="Times New Roman" w:hAnsi="Times New Roman"/>
          <w:b w:val="0"/>
          <w:i w:val="0"/>
          <w:color w:val="000000"/>
          <w:sz w:val="20"/>
        </w:rPr>
        <w:t>Quadro 5: Cronograma de actividades</w:t>
      </w:r>
    </w:p>
    <w:tbl>
      <w:tblPr>
        <w:jc w:val="center"/>
        <w:tblLayout w:type="fixed"/>
        <w:tblLook w:firstColumn="1" w:firstRow="1" w:lastColumn="0" w:lastRow="0" w:noHBand="0" w:noVBand="1" w:val="04A0"/>
        <w:tblW w:w="9072" w:type="dxa"/>
        <w:tblCellMar>
          <w:left w:w="34" w:type="dxa"/>
          <w:right w:w="34" w:type="dxa"/>
        </w:tblCellMar>
      </w:tblPr>
      <w:tblGrid>
        <w:gridCol w:w="3628"/>
        <w:gridCol w:w="453"/>
        <w:gridCol w:w="453"/>
        <w:gridCol w:w="453"/>
        <w:gridCol w:w="453"/>
        <w:gridCol w:w="453"/>
        <w:gridCol w:w="453"/>
        <w:gridCol w:w="453"/>
        <w:gridCol w:w="453"/>
        <w:gridCol w:w="453"/>
        <w:gridCol w:w="453"/>
        <w:gridCol w:w="453"/>
        <w:gridCol w:w="453"/>
      </w:tblGrid>
      <w:tr>
        <w:trPr>
          <w:tblHeader w:val="true"/>
          <w:cantSplit w:val="true"/>
        </w:trPr>
        <w:tc>
          <w:tcPr>
            <w:tcW w:type="dxa" w:w="3628"/>
            <w:vMerge w:val="restart"/>
            <w:tcBorders>
              <w:left w:val="nil"/>
              <w:right w:val="nil"/>
              <w:insideH w:val="nil"/>
              <w:insideV w:val="nil"/>
              <w:top w:val="single" w:sz="8" w:color="000000"/>
              <w:bottom w:val="single" w:sz="6" w:color="000000"/>
            </w:tcBorders>
          </w:tcPr>
          <w:p>
            <w:pPr>
              <w:spacing w:before="20" w:after="20" w:line="240" w:lineRule="auto"/>
              <w:ind w:firstLine="0"/>
              <w:jc w:val="left"/>
            </w:pPr>
            <w:r/>
            <w:r>
              <w:rPr>
                <w:rFonts w:ascii="Times New Roman" w:hAnsi="Times New Roman"/>
                <w:b/>
                <w:i w:val="0"/>
                <w:color w:val="000000"/>
                <w:sz w:val="22"/>
              </w:rPr>
              <w:t>Actividade</w:t>
            </w:r>
          </w:p>
        </w:tc>
        <w:tc>
          <w:tcPr>
            <w:tcW w:type="dxa" w:w="454"/>
            <w:gridSpan w:val="3"/>
            <w:tcBorders>
              <w:left w:val="nil"/>
              <w:bottom w:val="nil"/>
              <w:right w:val="nil"/>
              <w:insideH w:val="nil"/>
              <w:insideV w:val="nil"/>
              <w:top w:val="single" w:sz="8" w:color="000000"/>
            </w:tcBorders>
          </w:tcPr>
          <w:p>
            <w:pPr>
              <w:spacing w:before="20" w:after="20" w:line="240" w:lineRule="auto"/>
              <w:ind w:firstLine="0"/>
              <w:jc w:val="center"/>
            </w:pPr>
            <w:r/>
            <w:r>
              <w:rPr>
                <w:rFonts w:ascii="Times New Roman" w:hAnsi="Times New Roman"/>
                <w:b/>
                <w:i w:val="0"/>
                <w:color w:val="000000"/>
                <w:sz w:val="22"/>
              </w:rPr>
              <w:t>2026</w:t>
            </w:r>
          </w:p>
        </w:tc>
        <w:tc>
          <w:tcPr>
            <w:tcW w:type="dxa" w:w="454"/>
            <w:gridSpan w:val="9"/>
            <w:tcBorders>
              <w:left w:val="nil"/>
              <w:bottom w:val="nil"/>
              <w:right w:val="nil"/>
              <w:insideH w:val="nil"/>
              <w:insideV w:val="nil"/>
              <w:top w:val="single" w:sz="8" w:color="000000"/>
            </w:tcBorders>
          </w:tcPr>
          <w:p>
            <w:pPr>
              <w:spacing w:before="20" w:after="20" w:line="240" w:lineRule="auto"/>
              <w:ind w:firstLine="0"/>
              <w:jc w:val="center"/>
            </w:pPr>
            <w:r/>
            <w:r>
              <w:rPr>
                <w:rFonts w:ascii="Times New Roman" w:hAnsi="Times New Roman"/>
                <w:b/>
                <w:i w:val="0"/>
                <w:color w:val="000000"/>
                <w:sz w:val="22"/>
              </w:rPr>
              <w:t>2027</w:t>
            </w:r>
          </w:p>
        </w:tc>
      </w:tr>
      <w:tr>
        <w:trPr>
          <w:tblHeader w:val="true"/>
          <w:cantSplit w:val="true"/>
        </w:trPr>
        <w:tc>
          <w:tcPr>
            <w:tcW w:type="dxa" w:w="698"/>
            <w:vMerge/>
          </w:tcPr>
          <w:p/>
        </w:tc>
        <w:tc>
          <w:tcPr>
            <w:tcW w:type="dxa" w:w="454"/>
            <w:tcBorders>
              <w:top w:val="nil"/>
              <w:left w:val="nil"/>
              <w:right w:val="nil"/>
              <w:insideH w:val="nil"/>
              <w:insideV w:val="nil"/>
              <w:bottom w:val="single" w:sz="6" w:color="000000"/>
            </w:tcBorders>
          </w:tcPr>
          <w:p>
            <w:pPr>
              <w:spacing w:before="20" w:after="20" w:line="240" w:lineRule="auto"/>
              <w:ind w:firstLine="0"/>
              <w:jc w:val="center"/>
            </w:pPr>
            <w:r/>
            <w:r>
              <w:rPr>
                <w:rFonts w:ascii="Times New Roman" w:hAnsi="Times New Roman"/>
                <w:b/>
                <w:i w:val="0"/>
                <w:color w:val="000000"/>
                <w:sz w:val="20"/>
              </w:rPr>
              <w:t>Out</w:t>
            </w:r>
          </w:p>
        </w:tc>
        <w:tc>
          <w:tcPr>
            <w:tcW w:type="dxa" w:w="454"/>
            <w:tcBorders>
              <w:top w:val="nil"/>
              <w:left w:val="nil"/>
              <w:right w:val="nil"/>
              <w:insideH w:val="nil"/>
              <w:insideV w:val="nil"/>
              <w:bottom w:val="single" w:sz="6" w:color="000000"/>
            </w:tcBorders>
          </w:tcPr>
          <w:p>
            <w:pPr>
              <w:spacing w:before="20" w:after="20" w:line="240" w:lineRule="auto"/>
              <w:ind w:firstLine="0"/>
              <w:jc w:val="center"/>
            </w:pPr>
            <w:r/>
            <w:r>
              <w:rPr>
                <w:rFonts w:ascii="Times New Roman" w:hAnsi="Times New Roman"/>
                <w:b/>
                <w:i w:val="0"/>
                <w:color w:val="000000"/>
                <w:sz w:val="20"/>
              </w:rPr>
              <w:t>Nov</w:t>
            </w:r>
          </w:p>
        </w:tc>
        <w:tc>
          <w:tcPr>
            <w:tcW w:type="dxa" w:w="454"/>
            <w:tcBorders>
              <w:top w:val="nil"/>
              <w:left w:val="nil"/>
              <w:right w:val="nil"/>
              <w:insideH w:val="nil"/>
              <w:insideV w:val="nil"/>
              <w:bottom w:val="single" w:sz="6" w:color="000000"/>
            </w:tcBorders>
          </w:tcPr>
          <w:p>
            <w:pPr>
              <w:spacing w:before="20" w:after="20" w:line="240" w:lineRule="auto"/>
              <w:ind w:firstLine="0"/>
              <w:jc w:val="center"/>
            </w:pPr>
            <w:r/>
            <w:r>
              <w:rPr>
                <w:rFonts w:ascii="Times New Roman" w:hAnsi="Times New Roman"/>
                <w:b/>
                <w:i w:val="0"/>
                <w:color w:val="000000"/>
                <w:sz w:val="20"/>
              </w:rPr>
              <w:t>Dez</w:t>
            </w:r>
          </w:p>
        </w:tc>
        <w:tc>
          <w:tcPr>
            <w:tcW w:type="dxa" w:w="454"/>
            <w:tcBorders>
              <w:top w:val="nil"/>
              <w:left w:val="nil"/>
              <w:right w:val="nil"/>
              <w:insideH w:val="nil"/>
              <w:insideV w:val="nil"/>
              <w:bottom w:val="single" w:sz="6" w:color="000000"/>
            </w:tcBorders>
          </w:tcPr>
          <w:p>
            <w:pPr>
              <w:spacing w:before="20" w:after="20" w:line="240" w:lineRule="auto"/>
              <w:ind w:firstLine="0"/>
              <w:jc w:val="center"/>
            </w:pPr>
            <w:r/>
            <w:r>
              <w:rPr>
                <w:rFonts w:ascii="Times New Roman" w:hAnsi="Times New Roman"/>
                <w:b/>
                <w:i w:val="0"/>
                <w:color w:val="000000"/>
                <w:sz w:val="20"/>
              </w:rPr>
              <w:t>Jan</w:t>
            </w:r>
          </w:p>
        </w:tc>
        <w:tc>
          <w:tcPr>
            <w:tcW w:type="dxa" w:w="454"/>
            <w:tcBorders>
              <w:top w:val="nil"/>
              <w:left w:val="nil"/>
              <w:right w:val="nil"/>
              <w:insideH w:val="nil"/>
              <w:insideV w:val="nil"/>
              <w:bottom w:val="single" w:sz="6" w:color="000000"/>
            </w:tcBorders>
          </w:tcPr>
          <w:p>
            <w:pPr>
              <w:spacing w:before="20" w:after="20" w:line="240" w:lineRule="auto"/>
              <w:ind w:firstLine="0"/>
              <w:jc w:val="center"/>
            </w:pPr>
            <w:r/>
            <w:r>
              <w:rPr>
                <w:rFonts w:ascii="Times New Roman" w:hAnsi="Times New Roman"/>
                <w:b/>
                <w:i w:val="0"/>
                <w:color w:val="000000"/>
                <w:sz w:val="20"/>
              </w:rPr>
              <w:t>Fev</w:t>
            </w:r>
          </w:p>
        </w:tc>
        <w:tc>
          <w:tcPr>
            <w:tcW w:type="dxa" w:w="454"/>
            <w:tcBorders>
              <w:top w:val="nil"/>
              <w:left w:val="nil"/>
              <w:right w:val="nil"/>
              <w:insideH w:val="nil"/>
              <w:insideV w:val="nil"/>
              <w:bottom w:val="single" w:sz="6" w:color="000000"/>
            </w:tcBorders>
          </w:tcPr>
          <w:p>
            <w:pPr>
              <w:spacing w:before="20" w:after="20" w:line="240" w:lineRule="auto"/>
              <w:ind w:firstLine="0"/>
              <w:jc w:val="center"/>
            </w:pPr>
            <w:r/>
            <w:r>
              <w:rPr>
                <w:rFonts w:ascii="Times New Roman" w:hAnsi="Times New Roman"/>
                <w:b/>
                <w:i w:val="0"/>
                <w:color w:val="000000"/>
                <w:sz w:val="20"/>
              </w:rPr>
              <w:t>Mar</w:t>
            </w:r>
          </w:p>
        </w:tc>
        <w:tc>
          <w:tcPr>
            <w:tcW w:type="dxa" w:w="454"/>
            <w:tcBorders>
              <w:top w:val="nil"/>
              <w:left w:val="nil"/>
              <w:right w:val="nil"/>
              <w:insideH w:val="nil"/>
              <w:insideV w:val="nil"/>
              <w:bottom w:val="single" w:sz="6" w:color="000000"/>
            </w:tcBorders>
          </w:tcPr>
          <w:p>
            <w:pPr>
              <w:spacing w:before="20" w:after="20" w:line="240" w:lineRule="auto"/>
              <w:ind w:firstLine="0"/>
              <w:jc w:val="center"/>
            </w:pPr>
            <w:r/>
            <w:r>
              <w:rPr>
                <w:rFonts w:ascii="Times New Roman" w:hAnsi="Times New Roman"/>
                <w:b/>
                <w:i w:val="0"/>
                <w:color w:val="000000"/>
                <w:sz w:val="20"/>
              </w:rPr>
              <w:t>Abr</w:t>
            </w:r>
          </w:p>
        </w:tc>
        <w:tc>
          <w:tcPr>
            <w:tcW w:type="dxa" w:w="454"/>
            <w:tcBorders>
              <w:top w:val="nil"/>
              <w:left w:val="nil"/>
              <w:right w:val="nil"/>
              <w:insideH w:val="nil"/>
              <w:insideV w:val="nil"/>
              <w:bottom w:val="single" w:sz="6" w:color="000000"/>
            </w:tcBorders>
          </w:tcPr>
          <w:p>
            <w:pPr>
              <w:spacing w:before="20" w:after="20" w:line="240" w:lineRule="auto"/>
              <w:ind w:firstLine="0"/>
              <w:jc w:val="center"/>
            </w:pPr>
            <w:r/>
            <w:r>
              <w:rPr>
                <w:rFonts w:ascii="Times New Roman" w:hAnsi="Times New Roman"/>
                <w:b/>
                <w:i w:val="0"/>
                <w:color w:val="000000"/>
                <w:sz w:val="20"/>
              </w:rPr>
              <w:t>Mai</w:t>
            </w:r>
          </w:p>
        </w:tc>
        <w:tc>
          <w:tcPr>
            <w:tcW w:type="dxa" w:w="454"/>
            <w:tcBorders>
              <w:top w:val="nil"/>
              <w:left w:val="nil"/>
              <w:right w:val="nil"/>
              <w:insideH w:val="nil"/>
              <w:insideV w:val="nil"/>
              <w:bottom w:val="single" w:sz="6" w:color="000000"/>
            </w:tcBorders>
          </w:tcPr>
          <w:p>
            <w:pPr>
              <w:spacing w:before="20" w:after="20" w:line="240" w:lineRule="auto"/>
              <w:ind w:firstLine="0"/>
              <w:jc w:val="center"/>
            </w:pPr>
            <w:r/>
            <w:r>
              <w:rPr>
                <w:rFonts w:ascii="Times New Roman" w:hAnsi="Times New Roman"/>
                <w:b/>
                <w:i w:val="0"/>
                <w:color w:val="000000"/>
                <w:sz w:val="20"/>
              </w:rPr>
              <w:t>Jun</w:t>
            </w:r>
          </w:p>
        </w:tc>
        <w:tc>
          <w:tcPr>
            <w:tcW w:type="dxa" w:w="454"/>
            <w:tcBorders>
              <w:top w:val="nil"/>
              <w:left w:val="nil"/>
              <w:right w:val="nil"/>
              <w:insideH w:val="nil"/>
              <w:insideV w:val="nil"/>
              <w:bottom w:val="single" w:sz="6" w:color="000000"/>
            </w:tcBorders>
          </w:tcPr>
          <w:p>
            <w:pPr>
              <w:spacing w:before="20" w:after="20" w:line="240" w:lineRule="auto"/>
              <w:ind w:firstLine="0"/>
              <w:jc w:val="center"/>
            </w:pPr>
            <w:r/>
            <w:r>
              <w:rPr>
                <w:rFonts w:ascii="Times New Roman" w:hAnsi="Times New Roman"/>
                <w:b/>
                <w:i w:val="0"/>
                <w:color w:val="000000"/>
                <w:sz w:val="20"/>
              </w:rPr>
              <w:t>Jul</w:t>
            </w:r>
          </w:p>
        </w:tc>
        <w:tc>
          <w:tcPr>
            <w:tcW w:type="dxa" w:w="454"/>
            <w:tcBorders>
              <w:top w:val="nil"/>
              <w:left w:val="nil"/>
              <w:right w:val="nil"/>
              <w:insideH w:val="nil"/>
              <w:insideV w:val="nil"/>
              <w:bottom w:val="single" w:sz="6" w:color="000000"/>
            </w:tcBorders>
          </w:tcPr>
          <w:p>
            <w:pPr>
              <w:spacing w:before="20" w:after="20" w:line="240" w:lineRule="auto"/>
              <w:ind w:firstLine="0"/>
              <w:jc w:val="center"/>
            </w:pPr>
            <w:r/>
            <w:r>
              <w:rPr>
                <w:rFonts w:ascii="Times New Roman" w:hAnsi="Times New Roman"/>
                <w:b/>
                <w:i w:val="0"/>
                <w:color w:val="000000"/>
                <w:sz w:val="20"/>
              </w:rPr>
              <w:t>Ago</w:t>
            </w:r>
          </w:p>
        </w:tc>
        <w:tc>
          <w:tcPr>
            <w:tcW w:type="dxa" w:w="454"/>
            <w:tcBorders>
              <w:top w:val="nil"/>
              <w:left w:val="nil"/>
              <w:right w:val="nil"/>
              <w:insideH w:val="nil"/>
              <w:insideV w:val="nil"/>
              <w:bottom w:val="single" w:sz="6" w:color="000000"/>
            </w:tcBorders>
          </w:tcPr>
          <w:p>
            <w:pPr>
              <w:spacing w:before="20" w:after="20" w:line="240" w:lineRule="auto"/>
              <w:ind w:firstLine="0"/>
              <w:jc w:val="center"/>
            </w:pPr>
            <w:r/>
            <w:r>
              <w:rPr>
                <w:rFonts w:ascii="Times New Roman" w:hAnsi="Times New Roman"/>
                <w:b/>
                <w:i w:val="0"/>
                <w:color w:val="000000"/>
                <w:sz w:val="20"/>
              </w:rPr>
              <w:t>Set</w:t>
            </w:r>
          </w:p>
        </w:tc>
      </w:tr>
      <w:tr>
        <w:trPr>
          <w:cantSplit w:val="true"/>
        </w:trPr>
        <w:tc>
          <w:tcPr>
            <w:tcW w:type="dxa" w:w="3628"/>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Revisão da literatura e redacção do protocolo</w:t>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r>
      <w:tr>
        <w:trPr>
          <w:cantSplit w:val="true"/>
        </w:trPr>
        <w:tc>
          <w:tcPr>
            <w:tcW w:type="dxa" w:w="3628"/>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Submissão ao CIBS-UniLúrio e pedidos de autorização no HCN</w:t>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r>
      <w:tr>
        <w:trPr>
          <w:cantSplit w:val="true"/>
        </w:trPr>
        <w:tc>
          <w:tcPr>
            <w:tcW w:type="dxa" w:w="3628"/>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Painel de peritos, tradução e retroversão do questionário</w:t>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r>
      <w:tr>
        <w:trPr>
          <w:cantSplit w:val="true"/>
        </w:trPr>
        <w:tc>
          <w:tcPr>
            <w:tcW w:type="dxa" w:w="3628"/>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Formação da equipa, pré-teste e teste-reteste</w:t>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r>
      <w:tr>
        <w:trPr>
          <w:cantSplit w:val="true"/>
        </w:trPr>
        <w:tc>
          <w:tcPr>
            <w:tcW w:type="dxa" w:w="3628"/>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Entrevistas aos doentes internados e verificação dos processos</w:t>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r>
      <w:tr>
        <w:trPr>
          <w:cantSplit w:val="true"/>
        </w:trPr>
        <w:tc>
          <w:tcPr>
            <w:tcW w:type="dxa" w:w="3628"/>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Recolha e identificação dos exemplares botânicos</w:t>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r>
      <w:tr>
        <w:trPr>
          <w:cantSplit w:val="true"/>
        </w:trPr>
        <w:tc>
          <w:tcPr>
            <w:tcW w:type="dxa" w:w="3628"/>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Classificação do potencial de interacção</w:t>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p>
        </w:tc>
      </w:tr>
      <w:tr>
        <w:trPr>
          <w:cantSplit w:val="true"/>
        </w:trPr>
        <w:tc>
          <w:tcPr>
            <w:tcW w:type="dxa" w:w="3628"/>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Dupla digitação, limpeza e processamento</w:t>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r>
      <w:tr>
        <w:trPr>
          <w:cantSplit w:val="true"/>
        </w:trPr>
        <w:tc>
          <w:tcPr>
            <w:tcW w:type="dxa" w:w="3628"/>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Análise estatística</w:t>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p>
        </w:tc>
      </w:tr>
      <w:tr>
        <w:trPr>
          <w:cantSplit w:val="true"/>
        </w:trPr>
        <w:tc>
          <w:tcPr>
            <w:tcW w:type="dxa" w:w="3628"/>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Redacção do relatório final</w:t>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p>
        </w:tc>
      </w:tr>
      <w:tr>
        <w:trPr>
          <w:cantSplit w:val="true"/>
        </w:trPr>
        <w:tc>
          <w:tcPr>
            <w:tcW w:type="dxa" w:w="3628"/>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Revisão pelo orientador e entrega</w:t>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p>
        </w:tc>
        <w:tc>
          <w:tcPr>
            <w:tcW w:type="dxa" w:w="454"/>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X</w:t>
            </w:r>
          </w:p>
        </w:tc>
        <w:tc>
          <w:tcPr>
            <w:tcW w:type="dxa" w:w="454"/>
            <w:tcBorders>
              <w:top w:val="nil"/>
              <w:left w:val="nil"/>
              <w:bottom w:val="nil"/>
              <w:right w:val="nil"/>
              <w:insideH w:val="nil"/>
              <w:insideV w:val="nil"/>
            </w:tcBorders>
          </w:tcPr>
          <w:p>
            <w:pPr>
              <w:spacing w:before="20" w:after="20" w:line="240" w:lineRule="auto"/>
              <w:ind w:firstLine="0"/>
              <w:jc w:val="center"/>
            </w:pPr>
            <w:r/>
          </w:p>
        </w:tc>
      </w:tr>
      <w:tr>
        <w:trPr>
          <w:cantSplit w:val="true"/>
        </w:trPr>
        <w:tc>
          <w:tcPr>
            <w:tcW w:type="dxa" w:w="3628"/>
            <w:tcBorders>
              <w:top w:val="nil"/>
              <w:left w:val="nil"/>
              <w:right w:val="nil"/>
              <w:insideH w:val="nil"/>
              <w:insideV w:val="nil"/>
              <w:bottom w:val="single" w:sz="8" w:color="000000"/>
            </w:tcBorders>
          </w:tcPr>
          <w:p>
            <w:pPr>
              <w:spacing w:before="20" w:after="20" w:line="240" w:lineRule="auto"/>
              <w:ind w:firstLine="0"/>
              <w:jc w:val="left"/>
            </w:pPr>
            <w:r/>
            <w:r>
              <w:rPr>
                <w:rFonts w:ascii="Times New Roman" w:hAnsi="Times New Roman"/>
                <w:b w:val="0"/>
                <w:i w:val="0"/>
                <w:color w:val="000000"/>
                <w:sz w:val="22"/>
              </w:rPr>
              <w:t>Defesa pública e devolução dos resultados</w:t>
            </w:r>
          </w:p>
        </w:tc>
        <w:tc>
          <w:tcPr>
            <w:tcW w:type="dxa" w:w="454"/>
            <w:tcBorders>
              <w:top w:val="nil"/>
              <w:left w:val="nil"/>
              <w:right w:val="nil"/>
              <w:insideH w:val="nil"/>
              <w:insideV w:val="nil"/>
              <w:bottom w:val="single" w:sz="8" w:color="000000"/>
            </w:tcBorders>
          </w:tcPr>
          <w:p>
            <w:pPr>
              <w:spacing w:before="20" w:after="20" w:line="240" w:lineRule="auto"/>
              <w:ind w:firstLine="0"/>
              <w:jc w:val="center"/>
            </w:pPr>
            <w:r/>
          </w:p>
        </w:tc>
        <w:tc>
          <w:tcPr>
            <w:tcW w:type="dxa" w:w="454"/>
            <w:tcBorders>
              <w:top w:val="nil"/>
              <w:left w:val="nil"/>
              <w:right w:val="nil"/>
              <w:insideH w:val="nil"/>
              <w:insideV w:val="nil"/>
              <w:bottom w:val="single" w:sz="8" w:color="000000"/>
            </w:tcBorders>
          </w:tcPr>
          <w:p>
            <w:pPr>
              <w:spacing w:before="20" w:after="20" w:line="240" w:lineRule="auto"/>
              <w:ind w:firstLine="0"/>
              <w:jc w:val="center"/>
            </w:pPr>
            <w:r/>
          </w:p>
        </w:tc>
        <w:tc>
          <w:tcPr>
            <w:tcW w:type="dxa" w:w="454"/>
            <w:tcBorders>
              <w:top w:val="nil"/>
              <w:left w:val="nil"/>
              <w:right w:val="nil"/>
              <w:insideH w:val="nil"/>
              <w:insideV w:val="nil"/>
              <w:bottom w:val="single" w:sz="8" w:color="000000"/>
            </w:tcBorders>
          </w:tcPr>
          <w:p>
            <w:pPr>
              <w:spacing w:before="20" w:after="20" w:line="240" w:lineRule="auto"/>
              <w:ind w:firstLine="0"/>
              <w:jc w:val="center"/>
            </w:pPr>
            <w:r/>
          </w:p>
        </w:tc>
        <w:tc>
          <w:tcPr>
            <w:tcW w:type="dxa" w:w="454"/>
            <w:tcBorders>
              <w:top w:val="nil"/>
              <w:left w:val="nil"/>
              <w:right w:val="nil"/>
              <w:insideH w:val="nil"/>
              <w:insideV w:val="nil"/>
              <w:bottom w:val="single" w:sz="8" w:color="000000"/>
            </w:tcBorders>
          </w:tcPr>
          <w:p>
            <w:pPr>
              <w:spacing w:before="20" w:after="20" w:line="240" w:lineRule="auto"/>
              <w:ind w:firstLine="0"/>
              <w:jc w:val="center"/>
            </w:pPr>
            <w:r/>
          </w:p>
        </w:tc>
        <w:tc>
          <w:tcPr>
            <w:tcW w:type="dxa" w:w="454"/>
            <w:tcBorders>
              <w:top w:val="nil"/>
              <w:left w:val="nil"/>
              <w:right w:val="nil"/>
              <w:insideH w:val="nil"/>
              <w:insideV w:val="nil"/>
              <w:bottom w:val="single" w:sz="8" w:color="000000"/>
            </w:tcBorders>
          </w:tcPr>
          <w:p>
            <w:pPr>
              <w:spacing w:before="20" w:after="20" w:line="240" w:lineRule="auto"/>
              <w:ind w:firstLine="0"/>
              <w:jc w:val="center"/>
            </w:pPr>
            <w:r/>
          </w:p>
        </w:tc>
        <w:tc>
          <w:tcPr>
            <w:tcW w:type="dxa" w:w="454"/>
            <w:tcBorders>
              <w:top w:val="nil"/>
              <w:left w:val="nil"/>
              <w:right w:val="nil"/>
              <w:insideH w:val="nil"/>
              <w:insideV w:val="nil"/>
              <w:bottom w:val="single" w:sz="8" w:color="000000"/>
            </w:tcBorders>
          </w:tcPr>
          <w:p>
            <w:pPr>
              <w:spacing w:before="20" w:after="20" w:line="240" w:lineRule="auto"/>
              <w:ind w:firstLine="0"/>
              <w:jc w:val="center"/>
            </w:pPr>
            <w:r/>
          </w:p>
        </w:tc>
        <w:tc>
          <w:tcPr>
            <w:tcW w:type="dxa" w:w="454"/>
            <w:tcBorders>
              <w:top w:val="nil"/>
              <w:left w:val="nil"/>
              <w:right w:val="nil"/>
              <w:insideH w:val="nil"/>
              <w:insideV w:val="nil"/>
              <w:bottom w:val="single" w:sz="8" w:color="000000"/>
            </w:tcBorders>
          </w:tcPr>
          <w:p>
            <w:pPr>
              <w:spacing w:before="20" w:after="20" w:line="240" w:lineRule="auto"/>
              <w:ind w:firstLine="0"/>
              <w:jc w:val="center"/>
            </w:pPr>
            <w:r/>
          </w:p>
        </w:tc>
        <w:tc>
          <w:tcPr>
            <w:tcW w:type="dxa" w:w="454"/>
            <w:tcBorders>
              <w:top w:val="nil"/>
              <w:left w:val="nil"/>
              <w:right w:val="nil"/>
              <w:insideH w:val="nil"/>
              <w:insideV w:val="nil"/>
              <w:bottom w:val="single" w:sz="8" w:color="000000"/>
            </w:tcBorders>
          </w:tcPr>
          <w:p>
            <w:pPr>
              <w:spacing w:before="20" w:after="20" w:line="240" w:lineRule="auto"/>
              <w:ind w:firstLine="0"/>
              <w:jc w:val="center"/>
            </w:pPr>
            <w:r/>
          </w:p>
        </w:tc>
        <w:tc>
          <w:tcPr>
            <w:tcW w:type="dxa" w:w="454"/>
            <w:tcBorders>
              <w:top w:val="nil"/>
              <w:left w:val="nil"/>
              <w:right w:val="nil"/>
              <w:insideH w:val="nil"/>
              <w:insideV w:val="nil"/>
              <w:bottom w:val="single" w:sz="8" w:color="000000"/>
            </w:tcBorders>
          </w:tcPr>
          <w:p>
            <w:pPr>
              <w:spacing w:before="20" w:after="20" w:line="240" w:lineRule="auto"/>
              <w:ind w:firstLine="0"/>
              <w:jc w:val="center"/>
            </w:pPr>
            <w:r/>
          </w:p>
        </w:tc>
        <w:tc>
          <w:tcPr>
            <w:tcW w:type="dxa" w:w="454"/>
            <w:tcBorders>
              <w:top w:val="nil"/>
              <w:left w:val="nil"/>
              <w:right w:val="nil"/>
              <w:insideH w:val="nil"/>
              <w:insideV w:val="nil"/>
              <w:bottom w:val="single" w:sz="8" w:color="000000"/>
            </w:tcBorders>
          </w:tcPr>
          <w:p>
            <w:pPr>
              <w:spacing w:before="20" w:after="20" w:line="240" w:lineRule="auto"/>
              <w:ind w:firstLine="0"/>
              <w:jc w:val="center"/>
            </w:pPr>
            <w:r/>
          </w:p>
        </w:tc>
        <w:tc>
          <w:tcPr>
            <w:tcW w:type="dxa" w:w="454"/>
            <w:tcBorders>
              <w:top w:val="nil"/>
              <w:left w:val="nil"/>
              <w:right w:val="nil"/>
              <w:insideH w:val="nil"/>
              <w:insideV w:val="nil"/>
              <w:bottom w:val="single" w:sz="8" w:color="000000"/>
            </w:tcBorders>
          </w:tcPr>
          <w:p>
            <w:pPr>
              <w:spacing w:before="20" w:after="20" w:line="240" w:lineRule="auto"/>
              <w:ind w:firstLine="0"/>
              <w:jc w:val="center"/>
            </w:pPr>
            <w:r/>
          </w:p>
        </w:tc>
        <w:tc>
          <w:tcPr>
            <w:tcW w:type="dxa" w:w="454"/>
            <w:tcBorders>
              <w:top w:val="nil"/>
              <w:left w:val="nil"/>
              <w:right w:val="nil"/>
              <w:insideH w:val="nil"/>
              <w:insideV w:val="nil"/>
              <w:bottom w:val="single" w:sz="8" w:color="000000"/>
            </w:tcBorders>
          </w:tcPr>
          <w:p>
            <w:pPr>
              <w:spacing w:before="20" w:after="20" w:line="240" w:lineRule="auto"/>
              <w:ind w:firstLine="0"/>
              <w:jc w:val="center"/>
            </w:pPr>
            <w:r/>
            <w:r>
              <w:rPr>
                <w:rFonts w:ascii="Times New Roman" w:hAnsi="Times New Roman"/>
                <w:b w:val="0"/>
                <w:i w:val="0"/>
                <w:color w:val="000000"/>
                <w:sz w:val="22"/>
              </w:rPr>
              <w:t>X</w:t>
            </w:r>
          </w:p>
        </w:tc>
      </w:tr>
    </w:tbl>
    <w:p>
      <w:pPr>
        <w:spacing w:before="60" w:after="200" w:line="240" w:lineRule="auto"/>
        <w:jc w:val="left"/>
      </w:pPr>
      <w:r>
        <w:rPr>
          <w:rFonts w:ascii="Times New Roman" w:hAnsi="Times New Roman"/>
          <w:b w:val="0"/>
          <w:i w:val="0"/>
          <w:color w:val="000000"/>
          <w:sz w:val="20"/>
        </w:rPr>
        <w:t>Fonte: Elaboração própria (2026).</w:t>
      </w:r>
    </w:p>
    <w:p>
      <w:pPr>
        <w:pStyle w:val="Heading1"/>
      </w:pPr>
      <w:r>
        <w:rPr>
          <w:rFonts w:ascii="Times New Roman" w:hAnsi="Times New Roman"/>
          <w:b/>
          <w:i w:val="0"/>
          <w:color w:val="000000"/>
          <w:sz w:val="26"/>
        </w:rPr>
        <w:t>12. ORÇAMENTO</w:t>
      </w:r>
    </w:p>
    <w:p>
      <w:pPr>
        <w:jc w:val="both"/>
      </w:pPr>
      <w:r>
        <w:rPr>
          <w:rFonts w:ascii="Times New Roman" w:hAnsi="Times New Roman"/>
          <w:b w:val="0"/>
          <w:i w:val="0"/>
          <w:color w:val="000000"/>
          <w:sz w:val="24"/>
        </w:rPr>
        <w:t>A Tabela 2 apresenta o orçamento estimado, em meticais. O estudo será financiado com recursos próprios do estudante, complementados por apoio a solicitar à Universidade Lúrio. A rubrica maior é o subsídio do inquiridor assistente, que entrevista em emakhuwa nos cerca de 90 dias úteis previstos para a recolha nos Departamentos de Medicina I e II e nos 5 dias do pré-teste; seguem-se as fotocópias para os 205 participantes da amostra mais cerca de 20 do pré-teste, num total de 225 arredondado para 235 por margem de segurança, e as rubricas botânicas: saídas de campo, material de herbário, compra de amostras, envio dos exemplares e apoio aos dois identificadores.</w:t>
      </w:r>
    </w:p>
    <w:p>
      <w:pPr>
        <w:keepNext/>
        <w:spacing w:before="160" w:after="60" w:line="240" w:lineRule="auto"/>
        <w:jc w:val="left"/>
      </w:pPr>
      <w:r>
        <w:rPr>
          <w:rFonts w:ascii="Times New Roman" w:hAnsi="Times New Roman"/>
          <w:b w:val="0"/>
          <w:i w:val="0"/>
          <w:color w:val="000000"/>
          <w:sz w:val="20"/>
        </w:rPr>
        <w:t>Tabela 2: Orçamento estimado do estudo, em meticais</w:t>
      </w:r>
    </w:p>
    <w:tbl>
      <w:tblPr>
        <w:jc w:val="center"/>
        <w:tblLayout w:type="fixed"/>
        <w:tblLook w:firstColumn="1" w:firstRow="1" w:lastColumn="0" w:lastRow="0" w:noHBand="0" w:noVBand="1" w:val="04A0"/>
        <w:tblW w:w="9072" w:type="dxa"/>
      </w:tblPr>
      <w:tblGrid>
        <w:gridCol w:w="3061"/>
        <w:gridCol w:w="1247"/>
        <w:gridCol w:w="1360"/>
        <w:gridCol w:w="1701"/>
        <w:gridCol w:w="1701"/>
      </w:tblGrid>
      <w:tr>
        <w:trPr>
          <w:tblHeader w:val="true"/>
          <w:cantSplit w:val="true"/>
        </w:trPr>
        <w:tc>
          <w:tcPr>
            <w:tcW w:type="dxa" w:w="3061"/>
            <w:tcBorders>
              <w:left w:val="nil"/>
              <w:right w:val="nil"/>
              <w:insideH w:val="nil"/>
              <w:insideV w:val="nil"/>
              <w:top w:val="single" w:sz="8" w:color="000000"/>
              <w:bottom w:val="single" w:sz="6" w:color="000000"/>
            </w:tcBorders>
          </w:tcPr>
          <w:p>
            <w:pPr>
              <w:spacing w:before="20" w:after="20" w:line="240" w:lineRule="auto"/>
              <w:ind w:firstLine="0"/>
              <w:jc w:val="left"/>
            </w:pPr>
            <w:r/>
            <w:r>
              <w:rPr>
                <w:rFonts w:ascii="Times New Roman" w:hAnsi="Times New Roman"/>
                <w:b/>
                <w:i w:val="0"/>
                <w:color w:val="000000"/>
                <w:sz w:val="22"/>
              </w:rPr>
              <w:t>Rubrica</w:t>
            </w:r>
          </w:p>
        </w:tc>
        <w:tc>
          <w:tcPr>
            <w:tcW w:type="dxa" w:w="1247"/>
            <w:tcBorders>
              <w:left w:val="nil"/>
              <w:right w:val="nil"/>
              <w:insideH w:val="nil"/>
              <w:insideV w:val="nil"/>
              <w:top w:val="single" w:sz="8" w:color="000000"/>
              <w:bottom w:val="single" w:sz="6" w:color="000000"/>
            </w:tcBorders>
          </w:tcPr>
          <w:p>
            <w:pPr>
              <w:spacing w:before="20" w:after="20" w:line="240" w:lineRule="auto"/>
              <w:ind w:firstLine="0"/>
              <w:jc w:val="left"/>
            </w:pPr>
            <w:r/>
            <w:r>
              <w:rPr>
                <w:rFonts w:ascii="Times New Roman" w:hAnsi="Times New Roman"/>
                <w:b/>
                <w:i w:val="0"/>
                <w:color w:val="000000"/>
                <w:sz w:val="22"/>
              </w:rPr>
              <w:t>Unidade</w:t>
            </w:r>
          </w:p>
        </w:tc>
        <w:tc>
          <w:tcPr>
            <w:tcW w:type="dxa" w:w="1361"/>
            <w:tcBorders>
              <w:left w:val="nil"/>
              <w:right w:val="nil"/>
              <w:insideH w:val="nil"/>
              <w:insideV w:val="nil"/>
              <w:top w:val="single" w:sz="8" w:color="000000"/>
              <w:bottom w:val="single" w:sz="6" w:color="000000"/>
            </w:tcBorders>
          </w:tcPr>
          <w:p>
            <w:pPr>
              <w:spacing w:before="20" w:after="20" w:line="240" w:lineRule="auto"/>
              <w:ind w:firstLine="0"/>
              <w:jc w:val="center"/>
            </w:pPr>
            <w:r/>
            <w:r>
              <w:rPr>
                <w:rFonts w:ascii="Times New Roman" w:hAnsi="Times New Roman"/>
                <w:b/>
                <w:i w:val="0"/>
                <w:color w:val="000000"/>
                <w:sz w:val="22"/>
              </w:rPr>
              <w:t>Quantidade</w:t>
            </w:r>
          </w:p>
        </w:tc>
        <w:tc>
          <w:tcPr>
            <w:tcW w:type="dxa" w:w="1701"/>
            <w:tcBorders>
              <w:left w:val="nil"/>
              <w:right w:val="nil"/>
              <w:insideH w:val="nil"/>
              <w:insideV w:val="nil"/>
              <w:top w:val="single" w:sz="8" w:color="000000"/>
              <w:bottom w:val="single" w:sz="6" w:color="000000"/>
            </w:tcBorders>
          </w:tcPr>
          <w:p>
            <w:pPr>
              <w:spacing w:before="20" w:after="20" w:line="240" w:lineRule="auto"/>
              <w:ind w:firstLine="0"/>
              <w:jc w:val="center"/>
            </w:pPr>
            <w:r/>
            <w:r>
              <w:rPr>
                <w:rFonts w:ascii="Times New Roman" w:hAnsi="Times New Roman"/>
                <w:b/>
                <w:i w:val="0"/>
                <w:color w:val="000000"/>
                <w:sz w:val="22"/>
              </w:rPr>
              <w:t>Custo unitário (MT)</w:t>
            </w:r>
          </w:p>
        </w:tc>
        <w:tc>
          <w:tcPr>
            <w:tcW w:type="dxa" w:w="1701"/>
            <w:tcBorders>
              <w:left w:val="nil"/>
              <w:right w:val="nil"/>
              <w:insideH w:val="nil"/>
              <w:insideV w:val="nil"/>
              <w:top w:val="single" w:sz="8" w:color="000000"/>
              <w:bottom w:val="single" w:sz="6" w:color="000000"/>
            </w:tcBorders>
          </w:tcPr>
          <w:p>
            <w:pPr>
              <w:spacing w:before="20" w:after="20" w:line="240" w:lineRule="auto"/>
              <w:ind w:firstLine="0"/>
              <w:jc w:val="center"/>
            </w:pPr>
            <w:r/>
            <w:r>
              <w:rPr>
                <w:rFonts w:ascii="Times New Roman" w:hAnsi="Times New Roman"/>
                <w:b/>
                <w:i w:val="0"/>
                <w:color w:val="000000"/>
                <w:sz w:val="22"/>
              </w:rPr>
              <w:t>Custo total (MT)</w:t>
            </w:r>
          </w:p>
        </w:tc>
      </w:tr>
      <w:tr>
        <w:trPr>
          <w:cantSplit w:val="true"/>
        </w:trPr>
        <w:tc>
          <w:tcPr>
            <w:tcW w:type="dxa" w:w="306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Fotocópias de questionários, fichas e termos (12 páginas por participante)</w:t>
            </w:r>
          </w:p>
        </w:tc>
        <w:tc>
          <w:tcPr>
            <w:tcW w:type="dxa" w:w="124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página</w:t>
            </w:r>
          </w:p>
        </w:tc>
        <w:tc>
          <w:tcPr>
            <w:tcW w:type="dxa" w:w="136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2.820</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3,00</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8.460,00</w:t>
            </w:r>
          </w:p>
        </w:tc>
      </w:tr>
      <w:tr>
        <w:trPr>
          <w:cantSplit w:val="true"/>
        </w:trPr>
        <w:tc>
          <w:tcPr>
            <w:tcW w:type="dxa" w:w="306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Tradução para emakhuwa e retroversão (dois tradutores em cada sentido)</w:t>
            </w:r>
          </w:p>
        </w:tc>
        <w:tc>
          <w:tcPr>
            <w:tcW w:type="dxa" w:w="124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serviço</w:t>
            </w:r>
          </w:p>
        </w:tc>
        <w:tc>
          <w:tcPr>
            <w:tcW w:type="dxa" w:w="136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4</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2.500,00</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10.000,00</w:t>
            </w:r>
          </w:p>
        </w:tc>
      </w:tr>
      <w:tr>
        <w:trPr>
          <w:cantSplit w:val="true"/>
        </w:trPr>
        <w:tc>
          <w:tcPr>
            <w:tcW w:type="dxa" w:w="306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Comunicação com o painel de peritos</w:t>
            </w:r>
          </w:p>
        </w:tc>
        <w:tc>
          <w:tcPr>
            <w:tcW w:type="dxa" w:w="124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perito</w:t>
            </w:r>
          </w:p>
        </w:tc>
        <w:tc>
          <w:tcPr>
            <w:tcW w:type="dxa" w:w="136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6</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500,00</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3.000,00</w:t>
            </w:r>
          </w:p>
        </w:tc>
      </w:tr>
      <w:tr>
        <w:trPr>
          <w:cantSplit w:val="true"/>
        </w:trPr>
        <w:tc>
          <w:tcPr>
            <w:tcW w:type="dxa" w:w="306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Formação da equipa de campo</w:t>
            </w:r>
          </w:p>
        </w:tc>
        <w:tc>
          <w:tcPr>
            <w:tcW w:type="dxa" w:w="124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dia</w:t>
            </w:r>
          </w:p>
        </w:tc>
        <w:tc>
          <w:tcPr>
            <w:tcW w:type="dxa" w:w="136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3</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1.000,00</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3.000,00</w:t>
            </w:r>
          </w:p>
        </w:tc>
      </w:tr>
      <w:tr>
        <w:trPr>
          <w:cantSplit w:val="true"/>
        </w:trPr>
        <w:tc>
          <w:tcPr>
            <w:tcW w:type="dxa" w:w="306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Subsídio do inquiridor assistente</w:t>
            </w:r>
          </w:p>
        </w:tc>
        <w:tc>
          <w:tcPr>
            <w:tcW w:type="dxa" w:w="124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dia</w:t>
            </w:r>
          </w:p>
        </w:tc>
        <w:tc>
          <w:tcPr>
            <w:tcW w:type="dxa" w:w="136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95</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450,00</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42.750,00</w:t>
            </w:r>
          </w:p>
        </w:tc>
      </w:tr>
      <w:tr>
        <w:trPr>
          <w:cantSplit w:val="true"/>
        </w:trPr>
        <w:tc>
          <w:tcPr>
            <w:tcW w:type="dxa" w:w="306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Saídas de campo para recolha de exemplares</w:t>
            </w:r>
          </w:p>
        </w:tc>
        <w:tc>
          <w:tcPr>
            <w:tcW w:type="dxa" w:w="124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saída</w:t>
            </w:r>
          </w:p>
        </w:tc>
        <w:tc>
          <w:tcPr>
            <w:tcW w:type="dxa" w:w="136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6</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1.500,00</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9.000,00</w:t>
            </w:r>
          </w:p>
        </w:tc>
      </w:tr>
      <w:tr>
        <w:trPr>
          <w:cantSplit w:val="true"/>
        </w:trPr>
        <w:tc>
          <w:tcPr>
            <w:tcW w:type="dxa" w:w="306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Compra de amostras de plantas em mercados</w:t>
            </w:r>
          </w:p>
        </w:tc>
        <w:tc>
          <w:tcPr>
            <w:tcW w:type="dxa" w:w="124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amostra</w:t>
            </w:r>
          </w:p>
        </w:tc>
        <w:tc>
          <w:tcPr>
            <w:tcW w:type="dxa" w:w="136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30</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100,00</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3.000,00</w:t>
            </w:r>
          </w:p>
        </w:tc>
      </w:tr>
      <w:tr>
        <w:trPr>
          <w:cantSplit w:val="true"/>
        </w:trPr>
        <w:tc>
          <w:tcPr>
            <w:tcW w:type="dxa" w:w="306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Material de herbário (prensa, papel absorvente, etiquetas, sacos)</w:t>
            </w:r>
          </w:p>
        </w:tc>
        <w:tc>
          <w:tcPr>
            <w:tcW w:type="dxa" w:w="124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conjunto</w:t>
            </w:r>
          </w:p>
        </w:tc>
        <w:tc>
          <w:tcPr>
            <w:tcW w:type="dxa" w:w="136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4.000,00</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4.000,00</w:t>
            </w:r>
          </w:p>
        </w:tc>
      </w:tr>
      <w:tr>
        <w:trPr>
          <w:cantSplit w:val="true"/>
        </w:trPr>
        <w:tc>
          <w:tcPr>
            <w:tcW w:type="dxa" w:w="306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Envio de exemplares e depósito de vouchers no herbário</w:t>
            </w:r>
          </w:p>
        </w:tc>
        <w:tc>
          <w:tcPr>
            <w:tcW w:type="dxa" w:w="124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envio</w:t>
            </w:r>
          </w:p>
        </w:tc>
        <w:tc>
          <w:tcPr>
            <w:tcW w:type="dxa" w:w="136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2</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3.000,00</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6.000,00</w:t>
            </w:r>
          </w:p>
        </w:tc>
      </w:tr>
      <w:tr>
        <w:trPr>
          <w:cantSplit w:val="true"/>
        </w:trPr>
        <w:tc>
          <w:tcPr>
            <w:tcW w:type="dxa" w:w="306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Apoio aos identificadores botânicos</w:t>
            </w:r>
          </w:p>
        </w:tc>
        <w:tc>
          <w:tcPr>
            <w:tcW w:type="dxa" w:w="124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identificador</w:t>
            </w:r>
          </w:p>
        </w:tc>
        <w:tc>
          <w:tcPr>
            <w:tcW w:type="dxa" w:w="136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2</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3.000,00</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6.000,00</w:t>
            </w:r>
          </w:p>
        </w:tc>
      </w:tr>
      <w:tr>
        <w:trPr>
          <w:cantSplit w:val="true"/>
        </w:trPr>
        <w:tc>
          <w:tcPr>
            <w:tcW w:type="dxa" w:w="306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Comunicação telefónica (reentrevistas, teste-reteste, contactos)</w:t>
            </w:r>
          </w:p>
        </w:tc>
        <w:tc>
          <w:tcPr>
            <w:tcW w:type="dxa" w:w="124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mês</w:t>
            </w:r>
          </w:p>
        </w:tc>
        <w:tc>
          <w:tcPr>
            <w:tcW w:type="dxa" w:w="136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8</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500,00</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4.000,00</w:t>
            </w:r>
          </w:p>
        </w:tc>
      </w:tr>
      <w:tr>
        <w:trPr>
          <w:cantSplit w:val="true"/>
        </w:trPr>
        <w:tc>
          <w:tcPr>
            <w:tcW w:type="dxa" w:w="306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Material de escritório (pranchetas, canetas, almofadas de tinta, envelopes)</w:t>
            </w:r>
          </w:p>
        </w:tc>
        <w:tc>
          <w:tcPr>
            <w:tcW w:type="dxa" w:w="124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conjunto</w:t>
            </w:r>
          </w:p>
        </w:tc>
        <w:tc>
          <w:tcPr>
            <w:tcW w:type="dxa" w:w="136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2.500,00</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2.500,00</w:t>
            </w:r>
          </w:p>
        </w:tc>
      </w:tr>
      <w:tr>
        <w:trPr>
          <w:cantSplit w:val="true"/>
        </w:trPr>
        <w:tc>
          <w:tcPr>
            <w:tcW w:type="dxa" w:w="306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Caixa com cadeado para arquivo dos termos e da lista de códigos</w:t>
            </w:r>
          </w:p>
        </w:tc>
        <w:tc>
          <w:tcPr>
            <w:tcW w:type="dxa" w:w="124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unidade</w:t>
            </w:r>
          </w:p>
        </w:tc>
        <w:tc>
          <w:tcPr>
            <w:tcW w:type="dxa" w:w="136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1.500,00</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1.500,00</w:t>
            </w:r>
          </w:p>
        </w:tc>
      </w:tr>
      <w:tr>
        <w:trPr>
          <w:cantSplit w:val="true"/>
        </w:trPr>
        <w:tc>
          <w:tcPr>
            <w:tcW w:type="dxa" w:w="306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Disco externo para cópia de segurança encriptada</w:t>
            </w:r>
          </w:p>
        </w:tc>
        <w:tc>
          <w:tcPr>
            <w:tcW w:type="dxa" w:w="124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unidade</w:t>
            </w:r>
          </w:p>
        </w:tc>
        <w:tc>
          <w:tcPr>
            <w:tcW w:type="dxa" w:w="136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2.000,00</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2.000,00</w:t>
            </w:r>
          </w:p>
        </w:tc>
      </w:tr>
      <w:tr>
        <w:trPr>
          <w:cantSplit w:val="true"/>
        </w:trPr>
        <w:tc>
          <w:tcPr>
            <w:tcW w:type="dxa" w:w="306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Taxa de submissão ao comité de bioética</w:t>
            </w:r>
          </w:p>
        </w:tc>
        <w:tc>
          <w:tcPr>
            <w:tcW w:type="dxa" w:w="124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taxa</w:t>
            </w:r>
          </w:p>
        </w:tc>
        <w:tc>
          <w:tcPr>
            <w:tcW w:type="dxa" w:w="136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5.000,00</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5.000,00</w:t>
            </w:r>
          </w:p>
        </w:tc>
      </w:tr>
      <w:tr>
        <w:trPr>
          <w:cantSplit w:val="true"/>
        </w:trPr>
        <w:tc>
          <w:tcPr>
            <w:tcW w:type="dxa" w:w="306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Folhetos de devolução em português e emakhuwa</w:t>
            </w:r>
          </w:p>
        </w:tc>
        <w:tc>
          <w:tcPr>
            <w:tcW w:type="dxa" w:w="124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unidade</w:t>
            </w:r>
          </w:p>
        </w:tc>
        <w:tc>
          <w:tcPr>
            <w:tcW w:type="dxa" w:w="136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500</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10,00</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5.000,00</w:t>
            </w:r>
          </w:p>
        </w:tc>
      </w:tr>
      <w:tr>
        <w:trPr>
          <w:cantSplit w:val="true"/>
        </w:trPr>
        <w:tc>
          <w:tcPr>
            <w:tcW w:type="dxa" w:w="3061"/>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Impressão e encadernação do relatório final</w:t>
            </w:r>
          </w:p>
        </w:tc>
        <w:tc>
          <w:tcPr>
            <w:tcW w:type="dxa" w:w="1247"/>
            <w:tcBorders>
              <w:top w:val="nil"/>
              <w:left w:val="nil"/>
              <w:bottom w:val="nil"/>
              <w:right w:val="nil"/>
              <w:insideH w:val="nil"/>
              <w:insideV w:val="nil"/>
            </w:tcBorders>
          </w:tcPr>
          <w:p>
            <w:pPr>
              <w:spacing w:before="20" w:after="20" w:line="240" w:lineRule="auto"/>
              <w:ind w:firstLine="0"/>
              <w:jc w:val="left"/>
            </w:pPr>
            <w:r/>
            <w:r>
              <w:rPr>
                <w:rFonts w:ascii="Times New Roman" w:hAnsi="Times New Roman"/>
                <w:b w:val="0"/>
                <w:i w:val="0"/>
                <w:color w:val="000000"/>
                <w:sz w:val="22"/>
              </w:rPr>
              <w:t>exemplar</w:t>
            </w:r>
          </w:p>
        </w:tc>
        <w:tc>
          <w:tcPr>
            <w:tcW w:type="dxa" w:w="136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4</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800,00</w:t>
            </w:r>
          </w:p>
        </w:tc>
        <w:tc>
          <w:tcPr>
            <w:tcW w:type="dxa" w:w="1701"/>
            <w:tcBorders>
              <w:top w:val="nil"/>
              <w:left w:val="nil"/>
              <w:bottom w:val="nil"/>
              <w:right w:val="nil"/>
              <w:insideH w:val="nil"/>
              <w:insideV w:val="nil"/>
            </w:tcBorders>
          </w:tcPr>
          <w:p>
            <w:pPr>
              <w:spacing w:before="20" w:after="20" w:line="240" w:lineRule="auto"/>
              <w:ind w:firstLine="0"/>
              <w:jc w:val="center"/>
            </w:pPr>
            <w:r/>
            <w:r>
              <w:rPr>
                <w:rFonts w:ascii="Times New Roman" w:hAnsi="Times New Roman"/>
                <w:b w:val="0"/>
                <w:i w:val="0"/>
                <w:color w:val="000000"/>
                <w:sz w:val="22"/>
              </w:rPr>
              <w:t>3.200,00</w:t>
            </w:r>
          </w:p>
        </w:tc>
      </w:tr>
      <w:tr>
        <w:trPr>
          <w:cantSplit w:val="true"/>
        </w:trPr>
        <w:tc>
          <w:tcPr>
            <w:tcW w:type="dxa" w:w="3061"/>
            <w:tcBorders>
              <w:left w:val="nil"/>
              <w:bottom w:val="nil"/>
              <w:right w:val="nil"/>
              <w:insideH w:val="nil"/>
              <w:insideV w:val="nil"/>
              <w:top w:val="single" w:sz="4" w:color="000000"/>
            </w:tcBorders>
          </w:tcPr>
          <w:p>
            <w:pPr>
              <w:spacing w:before="20" w:after="20" w:line="240" w:lineRule="auto"/>
              <w:ind w:firstLine="0"/>
              <w:jc w:val="left"/>
            </w:pPr>
            <w:r/>
            <w:r>
              <w:rPr>
                <w:rFonts w:ascii="Times New Roman" w:hAnsi="Times New Roman"/>
                <w:b w:val="0"/>
                <w:i w:val="0"/>
                <w:color w:val="000000"/>
                <w:sz w:val="22"/>
              </w:rPr>
              <w:t>Imprevistos (10% do subtotal)</w:t>
            </w:r>
          </w:p>
        </w:tc>
        <w:tc>
          <w:tcPr>
            <w:tcW w:type="dxa" w:w="1247"/>
            <w:tcBorders>
              <w:left w:val="nil"/>
              <w:bottom w:val="nil"/>
              <w:right w:val="nil"/>
              <w:insideH w:val="nil"/>
              <w:insideV w:val="nil"/>
              <w:top w:val="single" w:sz="4" w:color="000000"/>
            </w:tcBorders>
          </w:tcPr>
          <w:p>
            <w:pPr>
              <w:spacing w:before="20" w:after="20" w:line="240" w:lineRule="auto"/>
              <w:ind w:firstLine="0"/>
              <w:jc w:val="left"/>
            </w:pPr>
            <w:r/>
          </w:p>
        </w:tc>
        <w:tc>
          <w:tcPr>
            <w:tcW w:type="dxa" w:w="1361"/>
            <w:tcBorders>
              <w:left w:val="nil"/>
              <w:bottom w:val="nil"/>
              <w:right w:val="nil"/>
              <w:insideH w:val="nil"/>
              <w:insideV w:val="nil"/>
              <w:top w:val="single" w:sz="4" w:color="000000"/>
            </w:tcBorders>
          </w:tcPr>
          <w:p>
            <w:pPr>
              <w:spacing w:before="20" w:after="20" w:line="240" w:lineRule="auto"/>
              <w:ind w:firstLine="0"/>
              <w:jc w:val="center"/>
            </w:pPr>
            <w:r/>
          </w:p>
        </w:tc>
        <w:tc>
          <w:tcPr>
            <w:tcW w:type="dxa" w:w="1701"/>
            <w:tcBorders>
              <w:left w:val="nil"/>
              <w:bottom w:val="nil"/>
              <w:right w:val="nil"/>
              <w:insideH w:val="nil"/>
              <w:insideV w:val="nil"/>
              <w:top w:val="single" w:sz="4" w:color="000000"/>
            </w:tcBorders>
          </w:tcPr>
          <w:p>
            <w:pPr>
              <w:spacing w:before="20" w:after="20" w:line="240" w:lineRule="auto"/>
              <w:ind w:firstLine="0"/>
              <w:jc w:val="center"/>
            </w:pPr>
            <w:r/>
          </w:p>
        </w:tc>
        <w:tc>
          <w:tcPr>
            <w:tcW w:type="dxa" w:w="1701"/>
            <w:tcBorders>
              <w:left w:val="nil"/>
              <w:bottom w:val="nil"/>
              <w:right w:val="nil"/>
              <w:insideH w:val="nil"/>
              <w:insideV w:val="nil"/>
              <w:top w:val="single" w:sz="4" w:color="000000"/>
            </w:tcBorders>
          </w:tcPr>
          <w:p>
            <w:pPr>
              <w:spacing w:before="20" w:after="20" w:line="240" w:lineRule="auto"/>
              <w:ind w:firstLine="0"/>
              <w:jc w:val="center"/>
            </w:pPr>
            <w:r/>
            <w:r>
              <w:rPr>
                <w:rFonts w:ascii="Times New Roman" w:hAnsi="Times New Roman"/>
                <w:b w:val="0"/>
                <w:i w:val="0"/>
                <w:color w:val="000000"/>
                <w:sz w:val="22"/>
              </w:rPr>
              <w:t>11.841,00</w:t>
            </w:r>
          </w:p>
        </w:tc>
      </w:tr>
      <w:tr>
        <w:trPr>
          <w:cantSplit w:val="true"/>
        </w:trPr>
        <w:tc>
          <w:tcPr>
            <w:tcW w:type="dxa" w:w="3061"/>
            <w:tcBorders>
              <w:left w:val="nil"/>
              <w:right w:val="nil"/>
              <w:insideH w:val="nil"/>
              <w:insideV w:val="nil"/>
              <w:bottom w:val="single" w:sz="8" w:color="000000"/>
              <w:top w:val="single" w:sz="4" w:color="000000"/>
            </w:tcBorders>
          </w:tcPr>
          <w:p>
            <w:pPr>
              <w:spacing w:before="20" w:after="20" w:line="240" w:lineRule="auto"/>
              <w:ind w:firstLine="0"/>
              <w:jc w:val="left"/>
            </w:pPr>
            <w:r/>
            <w:r>
              <w:rPr>
                <w:rFonts w:ascii="Times New Roman" w:hAnsi="Times New Roman"/>
                <w:b/>
                <w:i w:val="0"/>
                <w:color w:val="000000"/>
                <w:sz w:val="22"/>
              </w:rPr>
              <w:t>Total geral</w:t>
            </w:r>
          </w:p>
        </w:tc>
        <w:tc>
          <w:tcPr>
            <w:tcW w:type="dxa" w:w="1247"/>
            <w:tcBorders>
              <w:left w:val="nil"/>
              <w:right w:val="nil"/>
              <w:insideH w:val="nil"/>
              <w:insideV w:val="nil"/>
              <w:bottom w:val="single" w:sz="8" w:color="000000"/>
              <w:top w:val="single" w:sz="4" w:color="000000"/>
            </w:tcBorders>
          </w:tcPr>
          <w:p>
            <w:pPr>
              <w:spacing w:before="20" w:after="20" w:line="240" w:lineRule="auto"/>
              <w:ind w:firstLine="0"/>
              <w:jc w:val="left"/>
            </w:pPr>
            <w:r/>
          </w:p>
        </w:tc>
        <w:tc>
          <w:tcPr>
            <w:tcW w:type="dxa" w:w="1361"/>
            <w:tcBorders>
              <w:left w:val="nil"/>
              <w:right w:val="nil"/>
              <w:insideH w:val="nil"/>
              <w:insideV w:val="nil"/>
              <w:bottom w:val="single" w:sz="8" w:color="000000"/>
              <w:top w:val="single" w:sz="4" w:color="000000"/>
            </w:tcBorders>
          </w:tcPr>
          <w:p>
            <w:pPr>
              <w:spacing w:before="20" w:after="20" w:line="240" w:lineRule="auto"/>
              <w:ind w:firstLine="0"/>
              <w:jc w:val="center"/>
            </w:pPr>
            <w:r/>
          </w:p>
        </w:tc>
        <w:tc>
          <w:tcPr>
            <w:tcW w:type="dxa" w:w="1701"/>
            <w:tcBorders>
              <w:left w:val="nil"/>
              <w:right w:val="nil"/>
              <w:insideH w:val="nil"/>
              <w:insideV w:val="nil"/>
              <w:bottom w:val="single" w:sz="8" w:color="000000"/>
              <w:top w:val="single" w:sz="4" w:color="000000"/>
            </w:tcBorders>
          </w:tcPr>
          <w:p>
            <w:pPr>
              <w:spacing w:before="20" w:after="20" w:line="240" w:lineRule="auto"/>
              <w:ind w:firstLine="0"/>
              <w:jc w:val="center"/>
            </w:pPr>
            <w:r/>
          </w:p>
        </w:tc>
        <w:tc>
          <w:tcPr>
            <w:tcW w:type="dxa" w:w="1701"/>
            <w:tcBorders>
              <w:left w:val="nil"/>
              <w:right w:val="nil"/>
              <w:insideH w:val="nil"/>
              <w:insideV w:val="nil"/>
              <w:bottom w:val="single" w:sz="8" w:color="000000"/>
              <w:top w:val="single" w:sz="4" w:color="000000"/>
            </w:tcBorders>
          </w:tcPr>
          <w:p>
            <w:pPr>
              <w:spacing w:before="20" w:after="20" w:line="240" w:lineRule="auto"/>
              <w:ind w:firstLine="0"/>
              <w:jc w:val="center"/>
            </w:pPr>
            <w:r/>
            <w:r>
              <w:rPr>
                <w:rFonts w:ascii="Times New Roman" w:hAnsi="Times New Roman"/>
                <w:b/>
                <w:i w:val="0"/>
                <w:color w:val="000000"/>
                <w:sz w:val="22"/>
              </w:rPr>
              <w:t>130.251,00</w:t>
            </w:r>
          </w:p>
        </w:tc>
      </w:tr>
    </w:tbl>
    <w:p>
      <w:pPr>
        <w:spacing w:before="60" w:after="200" w:line="240" w:lineRule="auto"/>
        <w:jc w:val="left"/>
      </w:pPr>
      <w:r>
        <w:rPr>
          <w:rFonts w:ascii="Times New Roman" w:hAnsi="Times New Roman"/>
          <w:b w:val="0"/>
          <w:i w:val="0"/>
          <w:color w:val="000000"/>
          <w:sz w:val="20"/>
        </w:rPr>
        <w:t>Fonte: Elaboração própria (2026). MT: metical. Valores indicativos, a confirmar com fornecedores locais à data da execução.</w:t>
      </w:r>
    </w:p>
    <w:p>
      <w:pPr>
        <w:pStyle w:val="Heading1"/>
        <w:pageBreakBefore/>
      </w:pPr>
      <w:r>
        <w:rPr>
          <w:rFonts w:ascii="Times New Roman" w:hAnsi="Times New Roman"/>
          <w:b/>
          <w:i w:val="0"/>
          <w:color w:val="000000"/>
          <w:sz w:val="26"/>
        </w:rPr>
        <w:t>13. REFERÊNCIAS BIBLIOGRÁFICAS</w:t>
      </w:r>
    </w:p>
    <w:p>
      <w:pPr>
        <w:tabs>
          <w:tab w:pos="425" w:val="left"/>
        </w:tabs>
        <w:spacing w:line="240" w:lineRule="auto" w:after="120"/>
        <w:ind w:left="425" w:hanging="425"/>
        <w:jc w:val="left"/>
      </w:pPr>
      <w:r>
        <w:rPr>
          <w:rFonts w:ascii="Times New Roman" w:hAnsi="Times New Roman"/>
          <w:b w:val="0"/>
          <w:i w:val="0"/>
          <w:color w:val="000000"/>
          <w:sz w:val="24"/>
        </w:rPr>
        <w:t>1.</w:t>
        <w:tab/>
        <w:t>World Health Organization. Global traditional medicine strategy 2025-2034 [Internet]. Geneva: World Health Organization; 2025 [citado 2026 Set 19]. Disponível em: https://www.who.int/publications/i/item/9789240113176</w:t>
      </w:r>
    </w:p>
    <w:p>
      <w:pPr>
        <w:tabs>
          <w:tab w:pos="425" w:val="left"/>
        </w:tabs>
        <w:spacing w:line="240" w:lineRule="auto" w:after="120"/>
        <w:ind w:left="425" w:hanging="425"/>
        <w:jc w:val="left"/>
      </w:pPr>
      <w:r>
        <w:rPr>
          <w:rFonts w:ascii="Times New Roman" w:hAnsi="Times New Roman"/>
          <w:b w:val="0"/>
          <w:i w:val="0"/>
          <w:color w:val="000000"/>
          <w:sz w:val="24"/>
        </w:rPr>
        <w:t>2.</w:t>
        <w:tab/>
        <w:t>Sulola MA, Sibai AM, Damasceno A, Issanov A, Sarria-Santamera A, Orazumbekova B, et al. Use of traditional medicine for hypertension, diabetes and hypercholesterolaemia measured in 71 surveys. Bull World Health Organ. 2025;103(11):662-674. doi:10.2471/BLT.25.293665. PMID: 41180269.</w:t>
      </w:r>
    </w:p>
    <w:p>
      <w:pPr>
        <w:tabs>
          <w:tab w:pos="425" w:val="left"/>
        </w:tabs>
        <w:spacing w:line="240" w:lineRule="auto" w:after="120"/>
        <w:ind w:left="425" w:hanging="425"/>
        <w:jc w:val="left"/>
      </w:pPr>
      <w:r>
        <w:rPr>
          <w:rFonts w:ascii="Times New Roman" w:hAnsi="Times New Roman"/>
          <w:b w:val="0"/>
          <w:i w:val="0"/>
          <w:color w:val="000000"/>
          <w:sz w:val="24"/>
        </w:rPr>
        <w:t>3.</w:t>
        <w:tab/>
        <w:t>Foley H, Steel A, Cramer H, Wardle J, Adams J. Disclosure of complementary medicine use to medical providers: a systematic review and meta-analysis. Sci Rep. 2019;9(1):1573. doi:10.1038/s41598-018-38279-8. PMID: 30733573.</w:t>
      </w:r>
    </w:p>
    <w:p>
      <w:pPr>
        <w:tabs>
          <w:tab w:pos="425" w:val="left"/>
        </w:tabs>
        <w:spacing w:line="240" w:lineRule="auto" w:after="120"/>
        <w:ind w:left="425" w:hanging="425"/>
        <w:jc w:val="left"/>
      </w:pPr>
      <w:r>
        <w:rPr>
          <w:rFonts w:ascii="Times New Roman" w:hAnsi="Times New Roman"/>
          <w:b w:val="0"/>
          <w:i w:val="0"/>
          <w:color w:val="000000"/>
          <w:sz w:val="24"/>
        </w:rPr>
        <w:t>4.</w:t>
        <w:tab/>
        <w:t>Awortwe C, Makiwane M, Reuter H, Muller C, Louw J, Rosenkranz B. Critical evaluation of causality assessment of herb-drug interactions in patients. Br J Clin Pharmacol. 2018;84(4):679-693. doi:10.1111/bcp.13490. PMID: 29363155.</w:t>
      </w:r>
    </w:p>
    <w:p>
      <w:pPr>
        <w:tabs>
          <w:tab w:pos="425" w:val="left"/>
        </w:tabs>
        <w:spacing w:line="240" w:lineRule="auto" w:after="120"/>
        <w:ind w:left="425" w:hanging="425"/>
        <w:jc w:val="left"/>
      </w:pPr>
      <w:r>
        <w:rPr>
          <w:rFonts w:ascii="Times New Roman" w:hAnsi="Times New Roman"/>
          <w:b w:val="0"/>
          <w:i w:val="0"/>
          <w:color w:val="000000"/>
          <w:sz w:val="24"/>
        </w:rPr>
        <w:t>5.</w:t>
        <w:tab/>
        <w:t>Lassale C, Gaye B, Diop IB, Mipinda JB, Kramoh KE, Kouam Kouam C, et al. Use of traditional medicine and control of hypertension in 12 African countries. BMJ Glob Health. 2022;7(6). doi:10.1136/bmjgh-2021-008138. PMID: 35654446.</w:t>
      </w:r>
    </w:p>
    <w:p>
      <w:pPr>
        <w:tabs>
          <w:tab w:pos="425" w:val="left"/>
        </w:tabs>
        <w:spacing w:line="240" w:lineRule="auto" w:after="120"/>
        <w:ind w:left="425" w:hanging="425"/>
        <w:jc w:val="left"/>
      </w:pPr>
      <w:r>
        <w:rPr>
          <w:rFonts w:ascii="Times New Roman" w:hAnsi="Times New Roman"/>
          <w:b w:val="0"/>
          <w:i w:val="0"/>
          <w:color w:val="000000"/>
          <w:sz w:val="24"/>
        </w:rPr>
        <w:t>6.</w:t>
        <w:tab/>
        <w:t>Liwa A, Roediger R, Jaka H, Bougaila A, Smart L, Langwick S, et al. Herbal and Alternative Medicine Use in Tanzanian Adults Admitted with Hypertension-Related Diseases: A Mixed-Methods Study. Int J Hypertens. 2017;2017:5692572. doi:10.1155/2017/5692572. PMID: 28634545.</w:t>
      </w:r>
    </w:p>
    <w:p>
      <w:pPr>
        <w:tabs>
          <w:tab w:pos="425" w:val="left"/>
        </w:tabs>
        <w:spacing w:line="240" w:lineRule="auto" w:after="120"/>
        <w:ind w:left="425" w:hanging="425"/>
        <w:jc w:val="left"/>
      </w:pPr>
      <w:r>
        <w:rPr>
          <w:rFonts w:ascii="Times New Roman" w:hAnsi="Times New Roman"/>
          <w:b w:val="0"/>
          <w:i w:val="0"/>
          <w:color w:val="000000"/>
          <w:sz w:val="24"/>
        </w:rPr>
        <w:t>7.</w:t>
        <w:tab/>
        <w:t>Jessen N, Damasceno A, Silva-Matos C, Tuzine E, Madede T, Mahoque R, et al. Hypertension in Mozambique: trends between 2005 and 2015. J Hypertens. 2018;36(4):779-784. doi:10.1097/HJH.0000000000001618. PMID: 29210894.</w:t>
      </w:r>
    </w:p>
    <w:p>
      <w:pPr>
        <w:tabs>
          <w:tab w:pos="425" w:val="left"/>
        </w:tabs>
        <w:spacing w:line="240" w:lineRule="auto" w:after="120"/>
        <w:ind w:left="425" w:hanging="425"/>
        <w:jc w:val="left"/>
      </w:pPr>
      <w:r>
        <w:rPr>
          <w:rFonts w:ascii="Times New Roman" w:hAnsi="Times New Roman"/>
          <w:b w:val="0"/>
          <w:i w:val="0"/>
          <w:color w:val="000000"/>
          <w:sz w:val="24"/>
        </w:rPr>
        <w:t>8.</w:t>
        <w:tab/>
        <w:t>Madede T, Mavume Mangunyane E, Munguambe K, Govo V, Beran D, Levitt N, et al. Human resources challenges in the management of diabetes and hypertension in Mozambique. PLoS One. 2024;19(3):e0297676. doi:10.1371/journal.pone.0297676. PMID: 38551894.</w:t>
      </w:r>
    </w:p>
    <w:p>
      <w:pPr>
        <w:tabs>
          <w:tab w:pos="425" w:val="left"/>
        </w:tabs>
        <w:spacing w:line="240" w:lineRule="auto" w:after="120"/>
        <w:ind w:left="425" w:hanging="425"/>
        <w:jc w:val="left"/>
      </w:pPr>
      <w:r>
        <w:rPr>
          <w:rFonts w:ascii="Times New Roman" w:hAnsi="Times New Roman"/>
          <w:b w:val="0"/>
          <w:i w:val="0"/>
          <w:color w:val="000000"/>
          <w:sz w:val="24"/>
        </w:rPr>
        <w:t>9.</w:t>
        <w:tab/>
        <w:t>Mocumbi AO, Langa DC, Chicumbe S, Schumacher AE, Al-Delaimy WK. Incorporating selected non-communicable diseases into facility-based surveillance systems from a resource-limited setting in Africa. BMC Public Health. 2019;19(1):147. doi:10.1186/s12889-019-6473-2. PMID: 30717732.</w:t>
      </w:r>
    </w:p>
    <w:p>
      <w:pPr>
        <w:tabs>
          <w:tab w:pos="425" w:val="left"/>
        </w:tabs>
        <w:spacing w:line="240" w:lineRule="auto" w:after="120"/>
        <w:ind w:left="425" w:hanging="425"/>
        <w:jc w:val="left"/>
      </w:pPr>
      <w:r>
        <w:rPr>
          <w:rFonts w:ascii="Times New Roman" w:hAnsi="Times New Roman"/>
          <w:b w:val="0"/>
          <w:i w:val="0"/>
          <w:color w:val="000000"/>
          <w:sz w:val="24"/>
        </w:rPr>
        <w:t>10.</w:t>
        <w:tab/>
        <w:t>Mocumbi AO, Cebola B, Muloliwa A, Sebastião F, Sitefane SJ, Manafe N, et al. Differential patterns of disease and injury in Mozambique: New perspectives from a pragmatic, multicenter, surveillance study of 7809 emergency presentations. PLoS One. 2019;14(7):e0219273. doi:10.1371/journal.pone.0219273. PMID: 31291292.</w:t>
      </w:r>
    </w:p>
    <w:p>
      <w:pPr>
        <w:tabs>
          <w:tab w:pos="425" w:val="left"/>
        </w:tabs>
        <w:spacing w:line="240" w:lineRule="auto" w:after="120"/>
        <w:ind w:left="425" w:hanging="425"/>
        <w:jc w:val="left"/>
      </w:pPr>
      <w:r>
        <w:rPr>
          <w:rFonts w:ascii="Times New Roman" w:hAnsi="Times New Roman"/>
          <w:b w:val="0"/>
          <w:i w:val="0"/>
          <w:color w:val="000000"/>
          <w:sz w:val="24"/>
        </w:rPr>
        <w:t>11.</w:t>
        <w:tab/>
        <w:t>Sitoe E, Van Wyk BE. An inventory and analysis of the medicinal plants of Mozambique. J Ethnopharmacol. 2024;319(Pt 2):117137. doi:10.1016/j.jep.2023.117137. PMID: 37783405.</w:t>
      </w:r>
    </w:p>
    <w:p>
      <w:pPr>
        <w:tabs>
          <w:tab w:pos="425" w:val="left"/>
        </w:tabs>
        <w:spacing w:line="240" w:lineRule="auto" w:after="120"/>
        <w:ind w:left="425" w:hanging="425"/>
        <w:jc w:val="left"/>
      </w:pPr>
      <w:r>
        <w:rPr>
          <w:rFonts w:ascii="Times New Roman" w:hAnsi="Times New Roman"/>
          <w:b w:val="0"/>
          <w:i w:val="0"/>
          <w:color w:val="000000"/>
          <w:sz w:val="24"/>
        </w:rPr>
        <w:t>12.</w:t>
        <w:tab/>
        <w:t>Manuel L, Bechel A, Noormahomed EV, Hlashwayo DF, Madureira MDC. Ethnobotanical study of plants used by the traditional healers to treat malaria in Mogovolas district, northern Mozambique. Heliyon. 2020;6(12):e05746. doi:10.1016/j.heliyon.2020.e05746. PMID: 33364508.</w:t>
      </w:r>
    </w:p>
    <w:p>
      <w:pPr>
        <w:tabs>
          <w:tab w:pos="425" w:val="left"/>
        </w:tabs>
        <w:spacing w:line="240" w:lineRule="auto" w:after="120"/>
        <w:ind w:left="425" w:hanging="425"/>
        <w:jc w:val="left"/>
      </w:pPr>
      <w:r>
        <w:rPr>
          <w:rFonts w:ascii="Times New Roman" w:hAnsi="Times New Roman"/>
          <w:b w:val="0"/>
          <w:i w:val="0"/>
          <w:color w:val="000000"/>
          <w:sz w:val="24"/>
        </w:rPr>
        <w:t>13.</w:t>
        <w:tab/>
        <w:t>Moçambique. Ministério da Saúde. Diploma Ministerial n.º 52/2010, de 23 de Março, que cria o Instituto de Medicina Tradicional. Boletim da República, I Série, n.º 11, 3.º Suplemento [Internet]. Maputo: Imprensa Nacional de Moçambique; 2010 [citado 2026 Set 19]. Disponível em: https://faolex.fao.org/docs/pdf/moz208698.pdf</w:t>
      </w:r>
    </w:p>
    <w:p>
      <w:pPr>
        <w:tabs>
          <w:tab w:pos="425" w:val="left"/>
        </w:tabs>
        <w:spacing w:line="240" w:lineRule="auto" w:after="120"/>
        <w:ind w:left="425" w:hanging="425"/>
        <w:jc w:val="left"/>
      </w:pPr>
      <w:r>
        <w:rPr>
          <w:rFonts w:ascii="Times New Roman" w:hAnsi="Times New Roman"/>
          <w:b w:val="0"/>
          <w:i w:val="0"/>
          <w:color w:val="000000"/>
          <w:sz w:val="24"/>
        </w:rPr>
        <w:t>14.</w:t>
        <w:tab/>
        <w:t>Das Neves Martins Pires PH, Marega A, Creagh JM. Contributions des tradipraticiens de santé au traitement antirétroviral : Étude de cas à Nampula, Mozambique. Afr J Prim Health Care Fam Med. 2018;10(1):e1-e6. doi:10.4102/phcfm.v10i1.1031. PMID: 30456971.</w:t>
      </w:r>
    </w:p>
    <w:p>
      <w:pPr>
        <w:tabs>
          <w:tab w:pos="425" w:val="left"/>
        </w:tabs>
        <w:spacing w:line="240" w:lineRule="auto" w:after="120"/>
        <w:ind w:left="425" w:hanging="425"/>
        <w:jc w:val="left"/>
      </w:pPr>
      <w:r>
        <w:rPr>
          <w:rFonts w:ascii="Times New Roman" w:hAnsi="Times New Roman"/>
          <w:b w:val="0"/>
          <w:i w:val="0"/>
          <w:color w:val="000000"/>
          <w:sz w:val="24"/>
        </w:rPr>
        <w:t>15.</w:t>
        <w:tab/>
        <w:t>Asfaw Erku D, Basazn Mekuria A. Prevalence and Correlates of Complementary and Alternative Medicine Use among Hypertensive Patients in Gondar Town, Ethiopia. Evid Based Complement Alternat Med. 2016;2016:6987636. doi:10.1155/2016/6987636. PMID: 27843480.</w:t>
      </w:r>
    </w:p>
    <w:p>
      <w:pPr>
        <w:tabs>
          <w:tab w:pos="425" w:val="left"/>
        </w:tabs>
        <w:spacing w:line="240" w:lineRule="auto" w:after="120"/>
        <w:ind w:left="425" w:hanging="425"/>
        <w:jc w:val="left"/>
      </w:pPr>
      <w:r>
        <w:rPr>
          <w:rFonts w:ascii="Times New Roman" w:hAnsi="Times New Roman"/>
          <w:b w:val="0"/>
          <w:i w:val="0"/>
          <w:color w:val="000000"/>
          <w:sz w:val="24"/>
        </w:rPr>
        <w:t>16.</w:t>
        <w:tab/>
        <w:t>James PB, Kamara H, Bah AJ, Steel A, Wardle J. Herbal medicine use among hypertensive patients attending public and private health facilities in Freetown Sierra Leone. Complement Ther Clin Pract. 2018;31:7-15. doi:10.1016/j.ctcp.2018.01.001. PMID: 29705483.</w:t>
      </w:r>
    </w:p>
    <w:p>
      <w:pPr>
        <w:tabs>
          <w:tab w:pos="425" w:val="left"/>
        </w:tabs>
        <w:spacing w:line="240" w:lineRule="auto" w:after="120"/>
        <w:ind w:left="425" w:hanging="425"/>
        <w:jc w:val="left"/>
      </w:pPr>
      <w:r>
        <w:rPr>
          <w:rFonts w:ascii="Times New Roman" w:hAnsi="Times New Roman"/>
          <w:b w:val="0"/>
          <w:i w:val="0"/>
          <w:color w:val="000000"/>
          <w:sz w:val="24"/>
        </w:rPr>
        <w:t>17.</w:t>
        <w:tab/>
        <w:t>Phan ADT, Vo TH, Luu TNN, Ngo HTT, Heinrich M, Kongkaew C. Herbal medicine use disclosure, database-flagged potential herb-drug interactions, and inter - interaction database concordance among patients with non-communicable diseases in Vietnam: A multicenter cross-sectional study. PLoS One. 2026;21(7):e0355046. doi:10.1371/journal.pone.0355046. PMID: 42536629.</w:t>
      </w:r>
    </w:p>
    <w:p>
      <w:pPr>
        <w:tabs>
          <w:tab w:pos="425" w:val="left"/>
        </w:tabs>
        <w:spacing w:line="240" w:lineRule="auto" w:after="120"/>
        <w:ind w:left="425" w:hanging="425"/>
        <w:jc w:val="left"/>
      </w:pPr>
      <w:r>
        <w:rPr>
          <w:rFonts w:ascii="Times New Roman" w:hAnsi="Times New Roman"/>
          <w:b w:val="0"/>
          <w:i w:val="0"/>
          <w:color w:val="000000"/>
          <w:sz w:val="24"/>
        </w:rPr>
        <w:t>18.</w:t>
        <w:tab/>
        <w:t>Nyirenda KK, Mponda J, Chikowe I, Kawonga E, Gomani Phiri NT, Msukwa M, et al. An exploratory evaluation of the interaction risk between herbal products and pharmaceutical medicines used concurrently for disease management in Blantyre, Malawi. Pharm Biol. 2025;63(1):877-895. doi:10.1080/13880209.2025.2586351. PMID: 41259156.</w:t>
      </w:r>
    </w:p>
    <w:p>
      <w:pPr>
        <w:tabs>
          <w:tab w:pos="425" w:val="left"/>
        </w:tabs>
        <w:spacing w:line="240" w:lineRule="auto" w:after="120"/>
        <w:ind w:left="425" w:hanging="425"/>
        <w:jc w:val="left"/>
      </w:pPr>
      <w:r>
        <w:rPr>
          <w:rFonts w:ascii="Times New Roman" w:hAnsi="Times New Roman"/>
          <w:b w:val="0"/>
          <w:i w:val="0"/>
          <w:color w:val="000000"/>
          <w:sz w:val="24"/>
        </w:rPr>
        <w:t>19.</w:t>
        <w:tab/>
        <w:t>Nurfaradilla SA, Saputri FC, Harahap Y. Pharmacokinetic Herb-Drug Interaction between Hibiscus sabdariffa Calyces Aqueous Extract and Captopril in Rats. Evid Based Complement Alternat Med. 2020;2020:5013898. doi:10.1155/2020/5013898. PMID: 32655663.</w:t>
      </w:r>
    </w:p>
    <w:p>
      <w:pPr>
        <w:tabs>
          <w:tab w:pos="425" w:val="left"/>
        </w:tabs>
        <w:spacing w:line="240" w:lineRule="auto" w:after="120"/>
        <w:ind w:left="425" w:hanging="425"/>
        <w:jc w:val="left"/>
      </w:pPr>
      <w:r>
        <w:rPr>
          <w:rFonts w:ascii="Times New Roman" w:hAnsi="Times New Roman"/>
          <w:b w:val="0"/>
          <w:i w:val="0"/>
          <w:color w:val="000000"/>
          <w:sz w:val="24"/>
        </w:rPr>
        <w:t>20.</w:t>
        <w:tab/>
        <w:t>Alam MA, Bin Jardan YA, Alzenaidy B, Raish M, Al-Mohizea AM, Ahad A, et al. Effect of Hibiscus sabdariffa and Zingiber officinale on pharmacokinetics and pharmacodynamics of amlodipine. J Pharm Pharmacol. 2021;73(9):1151-1160. doi:10.1093/jpp/rgaa062. PMID: 34383955.</w:t>
      </w:r>
    </w:p>
    <w:p>
      <w:pPr>
        <w:tabs>
          <w:tab w:pos="425" w:val="left"/>
        </w:tabs>
        <w:spacing w:line="240" w:lineRule="auto" w:after="120"/>
        <w:ind w:left="425" w:hanging="425"/>
        <w:jc w:val="left"/>
      </w:pPr>
      <w:r>
        <w:rPr>
          <w:rFonts w:ascii="Times New Roman" w:hAnsi="Times New Roman"/>
          <w:b w:val="0"/>
          <w:i w:val="0"/>
          <w:color w:val="000000"/>
          <w:sz w:val="24"/>
        </w:rPr>
        <w:t>21.</w:t>
        <w:tab/>
        <w:t>Hlashwayo D, Barbosa F, Martins A, Mussá T, Furvela A, Magaia T, et al. Transforming Healthcare: Mozambique's Pioneering Integrative Medicine Course. Ann Glob Health. 2026;92(1):15. doi:10.5334/aogh.4785. PMID: 41694800.</w:t>
      </w:r>
    </w:p>
    <w:p>
      <w:pPr>
        <w:tabs>
          <w:tab w:pos="425" w:val="left"/>
        </w:tabs>
        <w:spacing w:line="240" w:lineRule="auto" w:after="120"/>
        <w:ind w:left="425" w:hanging="425"/>
        <w:jc w:val="left"/>
      </w:pPr>
      <w:r>
        <w:rPr>
          <w:rFonts w:ascii="Times New Roman" w:hAnsi="Times New Roman"/>
          <w:b w:val="0"/>
          <w:i w:val="0"/>
          <w:color w:val="000000"/>
          <w:sz w:val="24"/>
        </w:rPr>
        <w:t>22.</w:t>
        <w:tab/>
        <w:t>Moçambique. Conselho de Ministros. Decreto n.º 19/2023, de 2 de Maio, que aprova o Regulamento para a Autorização de Introdução no Mercado de Produtos de Saúde, Medicamentos Fitoterápicos e Homeopáticos. Boletim da República, I Série, n.º 83 [Internet]. Maputo: Imprensa Nacional de Moçambique; 2023 [citado 2026 Set 19]. Disponível em: https://archive.gazettes.africa/archive/mz/2023/mz-government-gazette-series-i-dated-2023-05-02-no-83.pdf</w:t>
      </w:r>
    </w:p>
    <w:p>
      <w:pPr>
        <w:tabs>
          <w:tab w:pos="425" w:val="left"/>
        </w:tabs>
        <w:spacing w:line="240" w:lineRule="auto" w:after="120"/>
        <w:ind w:left="425" w:hanging="425"/>
        <w:jc w:val="left"/>
      </w:pPr>
      <w:r>
        <w:rPr>
          <w:rFonts w:ascii="Times New Roman" w:hAnsi="Times New Roman"/>
          <w:b w:val="0"/>
          <w:i w:val="0"/>
          <w:color w:val="000000"/>
          <w:sz w:val="24"/>
        </w:rPr>
        <w:t>23.</w:t>
        <w:tab/>
        <w:t>Barbosa F, Hlashwayo D, Sevastyanov V, Chichava V, Mataveia A, Boane E, et al. Medicinal plants sold for treatment of bacterial and parasitic diseases in humans in Maputo city markets, Mozambique. BMC Complement Med Ther. 2020;20(1):19. doi:10.1186/s12906-019-2809-9. PMID: 32020866.</w:t>
      </w:r>
    </w:p>
    <w:p>
      <w:pPr>
        <w:tabs>
          <w:tab w:pos="425" w:val="left"/>
        </w:tabs>
        <w:spacing w:line="240" w:lineRule="auto" w:after="120"/>
        <w:ind w:left="425" w:hanging="425"/>
        <w:jc w:val="left"/>
      </w:pPr>
      <w:r>
        <w:rPr>
          <w:rFonts w:ascii="Times New Roman" w:hAnsi="Times New Roman"/>
          <w:b w:val="0"/>
          <w:i w:val="0"/>
          <w:color w:val="000000"/>
          <w:sz w:val="24"/>
        </w:rPr>
        <w:t>24.</w:t>
        <w:tab/>
        <w:t>Azizah N, Halimah E, Puspitasari IM, Hasanah AN. Simultaneous Use of Herbal Medicines and Antihypertensive Drugs Among Hypertensive Patients in the Community: A Review. J Multidiscip Healthc. 2021;14:259-270. doi:10.2147/JMDH.S289156. PMID: 33568913.</w:t>
      </w:r>
    </w:p>
    <w:p>
      <w:pPr>
        <w:tabs>
          <w:tab w:pos="425" w:val="left"/>
        </w:tabs>
        <w:spacing w:line="240" w:lineRule="auto" w:after="120"/>
        <w:ind w:left="425" w:hanging="425"/>
        <w:jc w:val="left"/>
      </w:pPr>
      <w:r>
        <w:rPr>
          <w:rFonts w:ascii="Times New Roman" w:hAnsi="Times New Roman"/>
          <w:b w:val="0"/>
          <w:i w:val="0"/>
          <w:color w:val="000000"/>
          <w:sz w:val="24"/>
        </w:rPr>
        <w:t>25.</w:t>
        <w:tab/>
        <w:t>Tsele-Tebakang T, Morris-Eyton H, Pretorius E. Concurrent use of herbal and prescribed medicine by patients in primary health care clinics, South Africa. Afr J Prim Health Care Fam Med. 2023;15(1):e1-e7. doi:10.4102/phcfm.v15i1.3829. PMID: 37403682.</w:t>
      </w:r>
    </w:p>
    <w:p>
      <w:pPr>
        <w:tabs>
          <w:tab w:pos="425" w:val="left"/>
        </w:tabs>
        <w:spacing w:line="240" w:lineRule="auto" w:after="120"/>
        <w:ind w:left="425" w:hanging="425"/>
        <w:jc w:val="left"/>
      </w:pPr>
      <w:r>
        <w:rPr>
          <w:rFonts w:ascii="Times New Roman" w:hAnsi="Times New Roman"/>
          <w:b w:val="0"/>
          <w:i w:val="0"/>
          <w:color w:val="000000"/>
          <w:sz w:val="24"/>
        </w:rPr>
        <w:t>26.</w:t>
        <w:tab/>
        <w:t>Thin SM, Thet D, Li JY, Nakpun T, Nitadpakorn S, Phanudulkitti C, et al. A systematic review of community pharmacist practices in complementary medicine. Pharm Pract (Granada). 2022;20(3):2697. doi:10.18549/PharmPract.2022.3.2697. PMID: 36733509.</w:t>
      </w:r>
    </w:p>
    <w:p>
      <w:pPr>
        <w:tabs>
          <w:tab w:pos="425" w:val="left"/>
        </w:tabs>
        <w:spacing w:line="240" w:lineRule="auto" w:after="120"/>
        <w:ind w:left="425" w:hanging="425"/>
        <w:jc w:val="left"/>
      </w:pPr>
      <w:r>
        <w:rPr>
          <w:rFonts w:ascii="Times New Roman" w:hAnsi="Times New Roman"/>
          <w:b w:val="0"/>
          <w:i w:val="0"/>
          <w:color w:val="000000"/>
          <w:sz w:val="24"/>
        </w:rPr>
        <w:t>27.</w:t>
        <w:tab/>
        <w:t>Asmelashe Gelayee D, Binega Mekonnen G, Asrade Atnafe S, Birarra MK, Asrie AB. Herbal Medicines: Personal Use, Knowledge, Attitude, Dispensing Practice, and the Barriers among Community Pharmacists in Gondar, Northwest Ethiopia. Evid Based Complement Alternat Med. 2017;2017:6480142. doi:10.1155/2017/6480142. PMID: 28904558.</w:t>
      </w:r>
    </w:p>
    <w:p>
      <w:pPr>
        <w:tabs>
          <w:tab w:pos="425" w:val="left"/>
        </w:tabs>
        <w:spacing w:line="240" w:lineRule="auto" w:after="120"/>
        <w:ind w:left="425" w:hanging="425"/>
        <w:jc w:val="left"/>
      </w:pPr>
      <w:r>
        <w:rPr>
          <w:rFonts w:ascii="Times New Roman" w:hAnsi="Times New Roman"/>
          <w:b w:val="0"/>
          <w:i w:val="0"/>
          <w:color w:val="000000"/>
          <w:sz w:val="24"/>
        </w:rPr>
        <w:t>28.</w:t>
        <w:tab/>
        <w:t>Ried K. Garlic lowers blood pressure in hypertensive subjects, improves arterial stiffness and gut microbiota: A review and meta-analysis. Exp Ther Med. 2020;19(2):1472-1478. doi:10.3892/etm.2019.8374. PMID: 32010325.</w:t>
      </w:r>
    </w:p>
    <w:p>
      <w:pPr>
        <w:tabs>
          <w:tab w:pos="425" w:val="left"/>
        </w:tabs>
        <w:spacing w:line="240" w:lineRule="auto" w:after="120"/>
        <w:ind w:left="425" w:hanging="425"/>
        <w:jc w:val="left"/>
      </w:pPr>
      <w:r>
        <w:rPr>
          <w:rFonts w:ascii="Times New Roman" w:hAnsi="Times New Roman"/>
          <w:b w:val="0"/>
          <w:i w:val="0"/>
          <w:color w:val="000000"/>
          <w:sz w:val="24"/>
        </w:rPr>
        <w:t>29.</w:t>
        <w:tab/>
        <w:t>World Health Organization. WHO monographs on selected medicinal plants. Volume 1 [Internet]. Geneva: World Health Organization; 1999 [citado 2026 Set 19]. Disponível em: https://www.who.int/publications/i/item/9241545178</w:t>
      </w:r>
    </w:p>
    <w:p>
      <w:pPr>
        <w:tabs>
          <w:tab w:pos="425" w:val="left"/>
        </w:tabs>
        <w:spacing w:line="240" w:lineRule="auto" w:after="120"/>
        <w:ind w:left="425" w:hanging="425"/>
        <w:jc w:val="left"/>
      </w:pPr>
      <w:r>
        <w:rPr>
          <w:rFonts w:ascii="Times New Roman" w:hAnsi="Times New Roman"/>
          <w:b w:val="0"/>
          <w:i w:val="0"/>
          <w:color w:val="000000"/>
          <w:sz w:val="24"/>
        </w:rPr>
        <w:t>30.</w:t>
        <w:tab/>
        <w:t>Moçambique. Assembleia da República. Lei n.º 12/2017, de 8 de Setembro, Lei do Medicamento, Vacinas e outros Produtos Biológicos para Uso Humano [Internet]. Maputo: Imprensa Nacional de Moçambique; 2017 [citado 2026 Set 19]. Disponível em: https://anarme.gov.mz/download/lei-12-2017-de-8-de-setembro-lei-de-medicamento/</w:t>
      </w:r>
    </w:p>
    <w:p>
      <w:pPr>
        <w:tabs>
          <w:tab w:pos="425" w:val="left"/>
        </w:tabs>
        <w:spacing w:line="240" w:lineRule="auto" w:after="120"/>
        <w:ind w:left="425" w:hanging="425"/>
        <w:jc w:val="left"/>
      </w:pPr>
      <w:r>
        <w:rPr>
          <w:rFonts w:ascii="Times New Roman" w:hAnsi="Times New Roman"/>
          <w:b w:val="0"/>
          <w:i w:val="0"/>
          <w:color w:val="000000"/>
          <w:sz w:val="24"/>
        </w:rPr>
        <w:t>31.</w:t>
        <w:tab/>
        <w:t>Quandt SA, Verhoef MJ, Arcury TA, Lewith GT, Steinsbekk A, Kristoffersen AE, et al. Development of an international questionnaire to measure use of complementary and alternative medicine (I-CAM-Q). J Altern Complement Med. 2009;15(4):331-9. doi:10.1089/acm.2008.0521. PMID: 19388855.</w:t>
      </w:r>
    </w:p>
    <w:p>
      <w:pPr>
        <w:tabs>
          <w:tab w:pos="425" w:val="left"/>
        </w:tabs>
        <w:spacing w:line="240" w:lineRule="auto" w:after="120"/>
        <w:ind w:left="425" w:hanging="425"/>
        <w:jc w:val="left"/>
      </w:pPr>
      <w:r>
        <w:rPr>
          <w:rFonts w:ascii="Times New Roman" w:hAnsi="Times New Roman"/>
          <w:b w:val="0"/>
          <w:i w:val="0"/>
          <w:color w:val="000000"/>
          <w:sz w:val="24"/>
        </w:rPr>
        <w:t>32.</w:t>
        <w:tab/>
        <w:t>Esteban S, Vázquez Peña F, Terrasa S. Translation and cross-cultural adaptation of a standardized international questionnaire on use of alternative and complementary medicine (I-CAM - Q) for Argentina. BMC Complement Altern Med. 2016;16:109. doi:10.1186/s12906-016-1074-4. PMID: 27029211.</w:t>
      </w:r>
    </w:p>
    <w:p>
      <w:pPr>
        <w:tabs>
          <w:tab w:pos="425" w:val="left"/>
        </w:tabs>
        <w:spacing w:line="240" w:lineRule="auto" w:after="120"/>
        <w:ind w:left="425" w:hanging="425"/>
        <w:jc w:val="left"/>
      </w:pPr>
      <w:r>
        <w:rPr>
          <w:rFonts w:ascii="Times New Roman" w:hAnsi="Times New Roman"/>
          <w:b w:val="0"/>
          <w:i w:val="0"/>
          <w:color w:val="000000"/>
          <w:sz w:val="24"/>
        </w:rPr>
        <w:t>33.</w:t>
        <w:tab/>
        <w:t>Almanasreh E, Moles R, Chen TF. Evaluation of methods used for estimating content validity. Res Social Adm Pharm. 2019;15(2):214-221. doi:10.1016/j.sapharm.2018.03.066. PMID: 29606610.</w:t>
      </w:r>
    </w:p>
    <w:p>
      <w:pPr>
        <w:tabs>
          <w:tab w:pos="425" w:val="left"/>
        </w:tabs>
        <w:spacing w:line="240" w:lineRule="auto" w:after="120"/>
        <w:ind w:left="425" w:hanging="425"/>
        <w:jc w:val="left"/>
      </w:pPr>
      <w:r>
        <w:rPr>
          <w:rFonts w:ascii="Times New Roman" w:hAnsi="Times New Roman"/>
          <w:b w:val="0"/>
          <w:i w:val="0"/>
          <w:color w:val="000000"/>
          <w:sz w:val="24"/>
        </w:rPr>
        <w:t>34.</w:t>
        <w:tab/>
        <w:t>Tsang S, Royse CF, Terkawi AS. Guidelines for developing, translating, and validating a questionnaire in perioperative and pain medicine. Saudi J Anaesth. 2017;11(Suppl 1):S80-S89. doi:10.4103/sja.SJA_203_17. PMID: 28616007.</w:t>
      </w:r>
    </w:p>
    <w:p>
      <w:pPr>
        <w:tabs>
          <w:tab w:pos="425" w:val="left"/>
        </w:tabs>
        <w:spacing w:line="240" w:lineRule="auto" w:after="120"/>
        <w:ind w:left="425" w:hanging="425"/>
        <w:jc w:val="left"/>
      </w:pPr>
      <w:r>
        <w:rPr>
          <w:rFonts w:ascii="Times New Roman" w:hAnsi="Times New Roman"/>
          <w:b w:val="0"/>
          <w:i w:val="0"/>
          <w:color w:val="000000"/>
          <w:sz w:val="24"/>
        </w:rPr>
        <w:t>35.</w:t>
        <w:tab/>
        <w:t>McHugh ML. Interrater reliability: the kappa statistic. Biochem Med (Zagreb). 2012;22(3):276-82. PMID: 23092060.</w:t>
      </w:r>
    </w:p>
    <w:p>
      <w:pPr>
        <w:tabs>
          <w:tab w:pos="425" w:val="left"/>
        </w:tabs>
        <w:spacing w:line="240" w:lineRule="auto" w:after="120"/>
        <w:ind w:left="425" w:hanging="425"/>
        <w:jc w:val="left"/>
      </w:pPr>
      <w:r>
        <w:rPr>
          <w:rFonts w:ascii="Times New Roman" w:hAnsi="Times New Roman"/>
          <w:b w:val="0"/>
          <w:i w:val="0"/>
          <w:color w:val="000000"/>
          <w:sz w:val="24"/>
        </w:rPr>
        <w:t>36.</w:t>
        <w:tab/>
        <w:t>Heinrich M, Lardos A, Leonti M, Weckerle C, Willcox M, Applequist W, et al. Best practice in research: Consensus Statement on Ethnopharmacological Field Studies - ConSEFS. J Ethnopharmacol. 2018;211:329-339. doi:10.1016/j.jep.2017.08.015. PMID: 28818646.</w:t>
      </w:r>
    </w:p>
    <w:p>
      <w:pPr>
        <w:tabs>
          <w:tab w:pos="425" w:val="left"/>
        </w:tabs>
        <w:spacing w:line="240" w:lineRule="auto" w:after="120"/>
        <w:ind w:left="425" w:hanging="425"/>
        <w:jc w:val="left"/>
      </w:pPr>
      <w:r>
        <w:rPr>
          <w:rFonts w:ascii="Times New Roman" w:hAnsi="Times New Roman"/>
          <w:b w:val="0"/>
          <w:i w:val="0"/>
          <w:color w:val="000000"/>
          <w:sz w:val="24"/>
        </w:rPr>
        <w:t>37.</w:t>
        <w:tab/>
        <w:t>Govaerts R, Nic Lughadha E, Black N, Turner R, Paton A. The World Checklist of Vascular Plants, a continuously updated resource for exploring global plant diversity. Sci Data. 2021;8(1):215. doi:10.1038/s41597-021-00997-6. PMID: 34389730.</w:t>
      </w:r>
    </w:p>
    <w:p>
      <w:pPr>
        <w:tabs>
          <w:tab w:pos="425" w:val="left"/>
        </w:tabs>
        <w:spacing w:line="240" w:lineRule="auto" w:after="120"/>
        <w:ind w:left="425" w:hanging="425"/>
        <w:jc w:val="left"/>
      </w:pPr>
      <w:r>
        <w:rPr>
          <w:rFonts w:ascii="Times New Roman" w:hAnsi="Times New Roman"/>
          <w:b w:val="0"/>
          <w:i w:val="0"/>
          <w:color w:val="000000"/>
          <w:sz w:val="24"/>
        </w:rPr>
        <w:t>38.</w:t>
        <w:tab/>
        <w:t>Borsch T, Berendsohn W, Dalcin E, Delmas M, Demissew S, Elliott A, et al. World Flora Online: Placing taxonomists at the heart of a definitive and comprehensive global resource on the world's plants. TAXON. 2020;69(6):1311-1341. doi:10.1002/tax.12373</w:t>
      </w:r>
    </w:p>
    <w:p>
      <w:pPr>
        <w:tabs>
          <w:tab w:pos="425" w:val="left"/>
        </w:tabs>
        <w:spacing w:line="240" w:lineRule="auto" w:after="120"/>
        <w:ind w:left="425" w:hanging="425"/>
        <w:jc w:val="left"/>
      </w:pPr>
      <w:r>
        <w:rPr>
          <w:rFonts w:ascii="Times New Roman" w:hAnsi="Times New Roman"/>
          <w:b w:val="0"/>
          <w:i w:val="0"/>
          <w:color w:val="000000"/>
          <w:sz w:val="24"/>
        </w:rPr>
        <w:t>39.</w:t>
        <w:tab/>
        <w:t>von Elm E, Altman DG, Egger M, Pocock SJ, Gøtzsche PC, Vandenbroucke JP. The Strengthening the Reporting of Observational Studies in Epidemiology (STROBE) statement: guidelines for reporting observational studies. Lancet. 2007;370(9596):1453-7. doi:10.1016/S0140-6736(07)61602-X. PMID: 18064739.</w:t>
      </w:r>
    </w:p>
    <w:p>
      <w:pPr>
        <w:tabs>
          <w:tab w:pos="425" w:val="left"/>
        </w:tabs>
        <w:spacing w:line="240" w:lineRule="auto" w:after="120"/>
        <w:ind w:left="425" w:hanging="425"/>
        <w:jc w:val="left"/>
      </w:pPr>
      <w:r>
        <w:rPr>
          <w:rFonts w:ascii="Times New Roman" w:hAnsi="Times New Roman"/>
          <w:b w:val="0"/>
          <w:i w:val="0"/>
          <w:color w:val="000000"/>
          <w:sz w:val="24"/>
        </w:rPr>
        <w:t>40.</w:t>
        <w:tab/>
        <w:t>Peduzzi P, Concato J, Kemper E, Holford TR, Feinstein AR. A simulation study of the number of events per variable in logistic regression analysis. J Clin Epidemiol. 1996;49(12):1373-9. doi:10.1016/s0895-4356(96)00236-3. PMID: 8970487.</w:t>
      </w:r>
    </w:p>
    <w:p>
      <w:pPr>
        <w:tabs>
          <w:tab w:pos="425" w:val="left"/>
        </w:tabs>
        <w:spacing w:line="240" w:lineRule="auto" w:after="120"/>
        <w:ind w:left="425" w:hanging="425"/>
        <w:jc w:val="left"/>
      </w:pPr>
      <w:r>
        <w:rPr>
          <w:rFonts w:ascii="Times New Roman" w:hAnsi="Times New Roman"/>
          <w:b w:val="0"/>
          <w:i w:val="0"/>
          <w:color w:val="000000"/>
          <w:sz w:val="24"/>
        </w:rPr>
        <w:t>41.</w:t>
        <w:tab/>
        <w:t>World Medical Association. World Medical Association Declaration of Helsinki: Ethical Principles for Medical Research Involving Human Participants. JAMA. 2025;333(1):71-74. doi:10.1001/jama.2024.21972. PMID: 39425955.</w:t>
      </w:r>
    </w:p>
    <w:p>
      <w:pPr>
        <w:pStyle w:val="Heading1"/>
        <w:pageBreakBefore/>
      </w:pPr>
      <w:r>
        <w:rPr>
          <w:rFonts w:ascii="Times New Roman" w:hAnsi="Times New Roman"/>
          <w:b/>
          <w:i w:val="0"/>
          <w:color w:val="000000"/>
          <w:sz w:val="26"/>
        </w:rPr>
        <w:t>APÊNDICES</w:t>
      </w:r>
    </w:p>
    <w:p>
      <w:pPr>
        <w:pStyle w:val="Heading2"/>
      </w:pPr>
      <w:r>
        <w:rPr>
          <w:rFonts w:ascii="Times New Roman" w:hAnsi="Times New Roman"/>
          <w:b/>
          <w:i w:val="0"/>
          <w:color w:val="000000"/>
          <w:sz w:val="24"/>
        </w:rPr>
        <w:t>Apêndice A. Questionário de recolha de dados</w:t>
      </w:r>
    </w:p>
    <w:p>
      <w:pPr>
        <w:spacing w:before="40" w:after="160" w:line="240" w:lineRule="auto"/>
        <w:jc w:val="both"/>
      </w:pPr>
      <w:r>
        <w:rPr>
          <w:rFonts w:ascii="Times New Roman" w:hAnsi="Times New Roman"/>
          <w:b w:val="0"/>
          <w:i w:val="0"/>
          <w:color w:val="000000"/>
          <w:sz w:val="20"/>
        </w:rPr>
        <w:t>Instruções ao entrevistador: aplicar apenas depois da assinatura do consentimento, e depois de confirmar que o doente tem capacidade para responder (orientação na pessoa e no tempo, discurso compreensível). Aplicar num espaço tão reservado quanto a enfermaria permitir, em português ou emakhuwa, conforme a preferência do participante, sem interferir com os cuidados clínicos. Ler as perguntas tal como estão escritas, sem sugerir respostas e sem comentar as práticas do participante. Registar os nomes das plantas exactamente como são ditos. Não escrever o nome do participante em nenhuma folha.</w:t>
      </w:r>
    </w:p>
    <w:p>
      <w:pPr>
        <w:keepNext/>
        <w:spacing w:before="200" w:after="80" w:line="276" w:lineRule="auto"/>
        <w:jc w:val="left"/>
      </w:pPr>
      <w:r>
        <w:rPr>
          <w:rFonts w:ascii="Times New Roman" w:hAnsi="Times New Roman"/>
          <w:b/>
          <w:i w:val="0"/>
          <w:color w:val="000000"/>
          <w:sz w:val="24"/>
        </w:rPr>
        <w:t>Secção I. Identificação</w:t>
      </w:r>
    </w:p>
    <w:p>
      <w:pPr>
        <w:spacing w:after="80" w:line="276" w:lineRule="auto"/>
        <w:jc w:val="left"/>
      </w:pPr>
      <w:r>
        <w:rPr>
          <w:rFonts w:ascii="Times New Roman" w:hAnsi="Times New Roman"/>
          <w:b w:val="0"/>
          <w:i w:val="0"/>
          <w:color w:val="000000"/>
          <w:sz w:val="24"/>
        </w:rPr>
        <w:t>Código do participante: __________     Data da entrevista: ___/___/2027     Entrevistador: __________</w:t>
      </w:r>
    </w:p>
    <w:p>
      <w:pPr>
        <w:keepNext/>
        <w:spacing w:after="80" w:line="276" w:lineRule="auto" w:before="80"/>
        <w:jc w:val="left"/>
      </w:pPr>
      <w:r>
        <w:rPr>
          <w:rFonts w:ascii="Times New Roman" w:hAnsi="Times New Roman"/>
          <w:b w:val="0"/>
          <w:i w:val="0"/>
          <w:color w:val="000000"/>
          <w:sz w:val="24"/>
        </w:rPr>
        <w:t>1. Departamento de internamento:</w:t>
      </w:r>
    </w:p>
    <w:p>
      <w:pPr>
        <w:spacing w:after="80" w:line="276" w:lineRule="auto"/>
        <w:ind w:left="340"/>
        <w:jc w:val="left"/>
      </w:pPr>
      <w:r>
        <w:rPr>
          <w:rFonts w:ascii="Times New Roman" w:hAnsi="Times New Roman"/>
          <w:b w:val="0"/>
          <w:i w:val="0"/>
          <w:color w:val="000000"/>
          <w:sz w:val="24"/>
        </w:rPr>
        <w:t>(   ) Medicina I     (   ) Medicina II</w:t>
      </w:r>
    </w:p>
    <w:p>
      <w:pPr>
        <w:spacing w:after="80" w:line="276" w:lineRule="auto"/>
        <w:jc w:val="left"/>
      </w:pPr>
      <w:r>
        <w:rPr>
          <w:rFonts w:ascii="Times New Roman" w:hAnsi="Times New Roman"/>
          <w:b w:val="0"/>
          <w:i w:val="0"/>
          <w:color w:val="000000"/>
          <w:sz w:val="24"/>
        </w:rPr>
        <w:t>Data de admissão: ___/___/2027     N.º de dias entre a admissão e a entrevista: ______</w:t>
      </w:r>
    </w:p>
    <w:p>
      <w:pPr>
        <w:keepNext/>
        <w:spacing w:after="80" w:line="276" w:lineRule="auto" w:before="80"/>
        <w:jc w:val="left"/>
      </w:pPr>
      <w:r>
        <w:rPr>
          <w:rFonts w:ascii="Times New Roman" w:hAnsi="Times New Roman"/>
          <w:b w:val="0"/>
          <w:i w:val="0"/>
          <w:color w:val="000000"/>
          <w:sz w:val="24"/>
        </w:rPr>
        <w:t>2. Língua da entrevista:</w:t>
      </w:r>
    </w:p>
    <w:p>
      <w:pPr>
        <w:spacing w:after="80" w:line="276" w:lineRule="auto"/>
        <w:ind w:left="340"/>
        <w:jc w:val="left"/>
      </w:pPr>
      <w:r>
        <w:rPr>
          <w:rFonts w:ascii="Times New Roman" w:hAnsi="Times New Roman"/>
          <w:b w:val="0"/>
          <w:i w:val="0"/>
          <w:color w:val="000000"/>
          <w:sz w:val="24"/>
        </w:rPr>
        <w:t>(   ) Português     (   ) Emakhuwa</w:t>
      </w:r>
    </w:p>
    <w:p>
      <w:pPr>
        <w:keepNext/>
        <w:spacing w:before="200" w:after="80" w:line="276" w:lineRule="auto"/>
        <w:jc w:val="left"/>
      </w:pPr>
      <w:r>
        <w:rPr>
          <w:rFonts w:ascii="Times New Roman" w:hAnsi="Times New Roman"/>
          <w:b/>
          <w:i w:val="0"/>
          <w:color w:val="000000"/>
          <w:sz w:val="24"/>
        </w:rPr>
        <w:t>Secção II. Dados sociodemográficos</w:t>
      </w:r>
    </w:p>
    <w:p>
      <w:pPr>
        <w:keepNext/>
        <w:spacing w:after="80" w:line="276" w:lineRule="auto" w:before="80"/>
        <w:jc w:val="left"/>
      </w:pPr>
      <w:r>
        <w:rPr>
          <w:rFonts w:ascii="Times New Roman" w:hAnsi="Times New Roman"/>
          <w:b w:val="0"/>
          <w:i w:val="0"/>
          <w:color w:val="000000"/>
          <w:sz w:val="24"/>
        </w:rPr>
        <w:t>3. Idade em anos completos:</w:t>
      </w:r>
    </w:p>
    <w:p>
      <w:pPr>
        <w:spacing w:after="80" w:line="276" w:lineRule="auto"/>
        <w:jc w:val="left"/>
      </w:pPr>
      <w:r>
        <w:rPr>
          <w:rFonts w:ascii="Times New Roman" w:hAnsi="Times New Roman"/>
          <w:b w:val="0"/>
          <w:i w:val="0"/>
          <w:color w:val="000000"/>
          <w:sz w:val="24"/>
        </w:rPr>
        <w:t>______________________________________________________________</w:t>
      </w:r>
    </w:p>
    <w:p>
      <w:pPr>
        <w:keepNext/>
        <w:spacing w:after="80" w:line="276" w:lineRule="auto" w:before="80"/>
        <w:jc w:val="left"/>
      </w:pPr>
      <w:r>
        <w:rPr>
          <w:rFonts w:ascii="Times New Roman" w:hAnsi="Times New Roman"/>
          <w:b w:val="0"/>
          <w:i w:val="0"/>
          <w:color w:val="000000"/>
          <w:sz w:val="24"/>
        </w:rPr>
        <w:t>4. Sexo:</w:t>
      </w:r>
    </w:p>
    <w:p>
      <w:pPr>
        <w:spacing w:after="80" w:line="276" w:lineRule="auto"/>
        <w:ind w:left="340"/>
        <w:jc w:val="left"/>
      </w:pPr>
      <w:r>
        <w:rPr>
          <w:rFonts w:ascii="Times New Roman" w:hAnsi="Times New Roman"/>
          <w:b w:val="0"/>
          <w:i w:val="0"/>
          <w:color w:val="000000"/>
          <w:sz w:val="24"/>
        </w:rPr>
        <w:t>(   ) Masculino     (   ) Feminino</w:t>
      </w:r>
    </w:p>
    <w:p>
      <w:pPr>
        <w:keepNext/>
        <w:spacing w:after="80" w:line="276" w:lineRule="auto" w:before="80"/>
        <w:jc w:val="left"/>
      </w:pPr>
      <w:r>
        <w:rPr>
          <w:rFonts w:ascii="Times New Roman" w:hAnsi="Times New Roman"/>
          <w:b w:val="0"/>
          <w:i w:val="0"/>
          <w:color w:val="000000"/>
          <w:sz w:val="24"/>
        </w:rPr>
        <w:t>5. Estado civil:</w:t>
      </w:r>
    </w:p>
    <w:p>
      <w:pPr>
        <w:spacing w:after="20" w:line="276" w:lineRule="auto"/>
        <w:ind w:left="340"/>
        <w:jc w:val="left"/>
      </w:pPr>
      <w:r>
        <w:rPr>
          <w:rFonts w:ascii="Times New Roman" w:hAnsi="Times New Roman"/>
          <w:b w:val="0"/>
          <w:i w:val="0"/>
          <w:color w:val="000000"/>
          <w:sz w:val="24"/>
        </w:rPr>
        <w:t>(   ) Solteiro(a)</w:t>
      </w:r>
    </w:p>
    <w:p>
      <w:pPr>
        <w:spacing w:after="20" w:line="276" w:lineRule="auto"/>
        <w:ind w:left="340"/>
        <w:jc w:val="left"/>
      </w:pPr>
      <w:r>
        <w:rPr>
          <w:rFonts w:ascii="Times New Roman" w:hAnsi="Times New Roman"/>
          <w:b w:val="0"/>
          <w:i w:val="0"/>
          <w:color w:val="000000"/>
          <w:sz w:val="24"/>
        </w:rPr>
        <w:t>(   ) Casado(a) ou em união de facto</w:t>
      </w:r>
    </w:p>
    <w:p>
      <w:pPr>
        <w:spacing w:after="20" w:line="276" w:lineRule="auto"/>
        <w:ind w:left="340"/>
        <w:jc w:val="left"/>
      </w:pPr>
      <w:r>
        <w:rPr>
          <w:rFonts w:ascii="Times New Roman" w:hAnsi="Times New Roman"/>
          <w:b w:val="0"/>
          <w:i w:val="0"/>
          <w:color w:val="000000"/>
          <w:sz w:val="24"/>
        </w:rPr>
        <w:t>(   ) Separado(a), divorciado(a) ou viúvo(a)</w:t>
      </w:r>
    </w:p>
    <w:p>
      <w:pPr>
        <w:keepNext/>
        <w:spacing w:after="80" w:line="276" w:lineRule="auto" w:before="80"/>
        <w:jc w:val="left"/>
      </w:pPr>
      <w:r>
        <w:rPr>
          <w:rFonts w:ascii="Times New Roman" w:hAnsi="Times New Roman"/>
          <w:b w:val="0"/>
          <w:i w:val="0"/>
          <w:color w:val="000000"/>
          <w:sz w:val="24"/>
        </w:rPr>
        <w:t>6. Escolaridade concluída:</w:t>
      </w:r>
    </w:p>
    <w:p>
      <w:pPr>
        <w:spacing w:after="80" w:line="276" w:lineRule="auto"/>
        <w:ind w:left="340"/>
        <w:jc w:val="left"/>
      </w:pPr>
      <w:r>
        <w:rPr>
          <w:rFonts w:ascii="Times New Roman" w:hAnsi="Times New Roman"/>
          <w:b w:val="0"/>
          <w:i w:val="0"/>
          <w:color w:val="000000"/>
          <w:sz w:val="24"/>
        </w:rPr>
        <w:t>(   ) Nenhuma     (   ) Primária     (   ) Secundária     (   ) Superior</w:t>
      </w:r>
    </w:p>
    <w:p>
      <w:pPr>
        <w:keepNext/>
        <w:spacing w:after="80" w:line="276" w:lineRule="auto" w:before="80"/>
        <w:jc w:val="left"/>
      </w:pPr>
      <w:r>
        <w:rPr>
          <w:rFonts w:ascii="Times New Roman" w:hAnsi="Times New Roman"/>
          <w:b w:val="0"/>
          <w:i w:val="0"/>
          <w:color w:val="000000"/>
          <w:sz w:val="24"/>
        </w:rPr>
        <w:t>7. Ocupação principal:</w:t>
      </w:r>
    </w:p>
    <w:p>
      <w:pPr>
        <w:spacing w:after="20" w:line="276" w:lineRule="auto"/>
        <w:ind w:left="340"/>
        <w:jc w:val="left"/>
      </w:pPr>
      <w:r>
        <w:rPr>
          <w:rFonts w:ascii="Times New Roman" w:hAnsi="Times New Roman"/>
          <w:b w:val="0"/>
          <w:i w:val="0"/>
          <w:color w:val="000000"/>
          <w:sz w:val="24"/>
        </w:rPr>
        <w:t>(   ) Emprego formal</w:t>
      </w:r>
    </w:p>
    <w:p>
      <w:pPr>
        <w:spacing w:after="20" w:line="276" w:lineRule="auto"/>
        <w:ind w:left="340"/>
        <w:jc w:val="left"/>
      </w:pPr>
      <w:r>
        <w:rPr>
          <w:rFonts w:ascii="Times New Roman" w:hAnsi="Times New Roman"/>
          <w:b w:val="0"/>
          <w:i w:val="0"/>
          <w:color w:val="000000"/>
          <w:sz w:val="24"/>
        </w:rPr>
        <w:t>(   ) Conta própria ou comércio</w:t>
      </w:r>
    </w:p>
    <w:p>
      <w:pPr>
        <w:spacing w:after="20" w:line="276" w:lineRule="auto"/>
        <w:ind w:left="340"/>
        <w:jc w:val="left"/>
      </w:pPr>
      <w:r>
        <w:rPr>
          <w:rFonts w:ascii="Times New Roman" w:hAnsi="Times New Roman"/>
          <w:b w:val="0"/>
          <w:i w:val="0"/>
          <w:color w:val="000000"/>
          <w:sz w:val="24"/>
        </w:rPr>
        <w:t>(   ) Agricultura</w:t>
      </w:r>
    </w:p>
    <w:p>
      <w:pPr>
        <w:spacing w:after="20" w:line="276" w:lineRule="auto"/>
        <w:ind w:left="340"/>
        <w:jc w:val="left"/>
      </w:pPr>
      <w:r>
        <w:rPr>
          <w:rFonts w:ascii="Times New Roman" w:hAnsi="Times New Roman"/>
          <w:b w:val="0"/>
          <w:i w:val="0"/>
          <w:color w:val="000000"/>
          <w:sz w:val="24"/>
        </w:rPr>
        <w:t>(   ) Sem ocupação</w:t>
      </w:r>
    </w:p>
    <w:p>
      <w:pPr>
        <w:spacing w:after="20" w:line="276" w:lineRule="auto"/>
        <w:ind w:left="340"/>
        <w:jc w:val="left"/>
      </w:pPr>
      <w:r>
        <w:rPr>
          <w:rFonts w:ascii="Times New Roman" w:hAnsi="Times New Roman"/>
          <w:b w:val="0"/>
          <w:i w:val="0"/>
          <w:color w:val="000000"/>
          <w:sz w:val="24"/>
        </w:rPr>
        <w:t>(   ) Outra</w:t>
      </w:r>
    </w:p>
    <w:p>
      <w:pPr>
        <w:keepNext/>
        <w:spacing w:after="80" w:line="276" w:lineRule="auto" w:before="80"/>
        <w:jc w:val="left"/>
      </w:pPr>
      <w:r>
        <w:rPr>
          <w:rFonts w:ascii="Times New Roman" w:hAnsi="Times New Roman"/>
          <w:b w:val="0"/>
          <w:i w:val="0"/>
          <w:color w:val="000000"/>
          <w:sz w:val="24"/>
        </w:rPr>
        <w:t>8. Tem rendimento regular todos os meses?</w:t>
      </w:r>
    </w:p>
    <w:p>
      <w:pPr>
        <w:spacing w:after="80" w:line="276" w:lineRule="auto"/>
        <w:ind w:left="340"/>
        <w:jc w:val="left"/>
      </w:pPr>
      <w:r>
        <w:rPr>
          <w:rFonts w:ascii="Times New Roman" w:hAnsi="Times New Roman"/>
          <w:b w:val="0"/>
          <w:i w:val="0"/>
          <w:color w:val="000000"/>
          <w:sz w:val="24"/>
        </w:rPr>
        <w:t>(   ) Sim     (   ) Não</w:t>
      </w:r>
    </w:p>
    <w:p>
      <w:pPr>
        <w:keepNext/>
        <w:spacing w:after="80" w:line="276" w:lineRule="auto" w:before="80"/>
        <w:jc w:val="left"/>
      </w:pPr>
      <w:r>
        <w:rPr>
          <w:rFonts w:ascii="Times New Roman" w:hAnsi="Times New Roman"/>
          <w:b w:val="0"/>
          <w:i w:val="0"/>
          <w:color w:val="000000"/>
          <w:sz w:val="24"/>
        </w:rPr>
        <w:t>9. Bairro de residência:</w:t>
      </w:r>
    </w:p>
    <w:p>
      <w:pPr>
        <w:spacing w:after="80" w:line="276" w:lineRule="auto"/>
        <w:jc w:val="left"/>
      </w:pPr>
      <w:r>
        <w:rPr>
          <w:rFonts w:ascii="Times New Roman" w:hAnsi="Times New Roman"/>
          <w:b w:val="0"/>
          <w:i w:val="0"/>
          <w:color w:val="000000"/>
          <w:sz w:val="24"/>
        </w:rPr>
        <w:t>______________________________________________________________</w:t>
      </w:r>
    </w:p>
    <w:p>
      <w:pPr>
        <w:keepNext/>
        <w:spacing w:before="200" w:after="80" w:line="276" w:lineRule="auto"/>
        <w:jc w:val="left"/>
      </w:pPr>
      <w:r>
        <w:rPr>
          <w:rFonts w:ascii="Times New Roman" w:hAnsi="Times New Roman"/>
          <w:b/>
          <w:i w:val="0"/>
          <w:color w:val="000000"/>
          <w:sz w:val="24"/>
        </w:rPr>
        <w:t>Secção III. Dados clínicos e terapêuticos (confirmar no processo)</w:t>
      </w:r>
    </w:p>
    <w:p>
      <w:pPr>
        <w:keepNext/>
        <w:spacing w:after="80" w:line="276" w:lineRule="auto" w:before="80"/>
        <w:jc w:val="left"/>
      </w:pPr>
      <w:r>
        <w:rPr>
          <w:rFonts w:ascii="Times New Roman" w:hAnsi="Times New Roman"/>
          <w:b w:val="0"/>
          <w:i w:val="0"/>
          <w:color w:val="000000"/>
          <w:sz w:val="24"/>
        </w:rPr>
        <w:t>10. Motivo do internamento actual, pelo diagnóstico de admissão:</w:t>
      </w:r>
    </w:p>
    <w:p>
      <w:pPr>
        <w:spacing w:after="20" w:line="276" w:lineRule="auto"/>
        <w:ind w:left="340"/>
        <w:jc w:val="left"/>
      </w:pPr>
      <w:r>
        <w:rPr>
          <w:rFonts w:ascii="Times New Roman" w:hAnsi="Times New Roman"/>
          <w:b w:val="0"/>
          <w:i w:val="0"/>
          <w:color w:val="000000"/>
          <w:sz w:val="24"/>
        </w:rPr>
        <w:t>(   ) Hipertensão sem complicação confirmada (incluindo crise hipertensiva sem lesão de órgão-alvo documentada)</w:t>
      </w:r>
    </w:p>
    <w:p>
      <w:pPr>
        <w:spacing w:after="20" w:line="276" w:lineRule="auto"/>
        <w:ind w:left="340"/>
        <w:jc w:val="left"/>
      </w:pPr>
      <w:r>
        <w:rPr>
          <w:rFonts w:ascii="Times New Roman" w:hAnsi="Times New Roman"/>
          <w:b w:val="0"/>
          <w:i w:val="0"/>
          <w:color w:val="000000"/>
          <w:sz w:val="24"/>
        </w:rPr>
        <w:t>(   ) Complicação hipertensiva com lesão de órgão-alvo (qual? AVC; insuficiência cardíaca; lesão renal; encefalopatia hipertensiva; outra) __________</w:t>
      </w:r>
    </w:p>
    <w:p>
      <w:pPr>
        <w:keepNext/>
        <w:spacing w:after="80" w:line="276" w:lineRule="auto" w:before="80"/>
        <w:jc w:val="left"/>
      </w:pPr>
      <w:r>
        <w:rPr>
          <w:rFonts w:ascii="Times New Roman" w:hAnsi="Times New Roman"/>
          <w:b w:val="0"/>
          <w:i w:val="0"/>
          <w:color w:val="000000"/>
          <w:sz w:val="24"/>
        </w:rPr>
        <w:t>11. Ano do diagnóstico de hipertensão arterial: ________</w:t>
      </w:r>
    </w:p>
    <w:p>
      <w:pPr>
        <w:spacing w:after="80" w:line="276" w:lineRule="auto"/>
        <w:jc w:val="left"/>
      </w:pPr>
      <w:r>
        <w:rPr>
          <w:rFonts w:ascii="Times New Roman" w:hAnsi="Times New Roman"/>
          <w:b w:val="0"/>
          <w:i w:val="0"/>
          <w:color w:val="000000"/>
          <w:sz w:val="24"/>
        </w:rPr>
        <w:t>______________________________________________________________</w:t>
      </w:r>
    </w:p>
    <w:p>
      <w:pPr>
        <w:keepNext/>
        <w:spacing w:after="80" w:line="276" w:lineRule="auto" w:before="80"/>
        <w:jc w:val="left"/>
      </w:pPr>
      <w:r>
        <w:rPr>
          <w:rFonts w:ascii="Times New Roman" w:hAnsi="Times New Roman"/>
          <w:b w:val="0"/>
          <w:i w:val="0"/>
          <w:color w:val="000000"/>
          <w:sz w:val="24"/>
        </w:rPr>
        <w:t>12. Tem outra doença crónica diagnosticada (comorbilidade)?</w:t>
      </w:r>
    </w:p>
    <w:p>
      <w:pPr>
        <w:spacing w:after="20" w:line="276" w:lineRule="auto"/>
        <w:ind w:left="340"/>
        <w:jc w:val="left"/>
      </w:pPr>
      <w:r>
        <w:rPr>
          <w:rFonts w:ascii="Times New Roman" w:hAnsi="Times New Roman"/>
          <w:b w:val="0"/>
          <w:i w:val="0"/>
          <w:color w:val="000000"/>
          <w:sz w:val="24"/>
        </w:rPr>
        <w:t>(   ) Não</w:t>
      </w:r>
    </w:p>
    <w:p>
      <w:pPr>
        <w:spacing w:after="20" w:line="276" w:lineRule="auto"/>
        <w:ind w:left="340"/>
        <w:jc w:val="left"/>
      </w:pPr>
      <w:r>
        <w:rPr>
          <w:rFonts w:ascii="Times New Roman" w:hAnsi="Times New Roman"/>
          <w:b w:val="0"/>
          <w:i w:val="0"/>
          <w:color w:val="000000"/>
          <w:sz w:val="24"/>
        </w:rPr>
        <w:t>(   ) Sim, diabetes mellitus</w:t>
      </w:r>
    </w:p>
    <w:p>
      <w:pPr>
        <w:spacing w:after="20" w:line="276" w:lineRule="auto"/>
        <w:ind w:left="340"/>
        <w:jc w:val="left"/>
      </w:pPr>
      <w:r>
        <w:rPr>
          <w:rFonts w:ascii="Times New Roman" w:hAnsi="Times New Roman"/>
          <w:b w:val="0"/>
          <w:i w:val="0"/>
          <w:color w:val="000000"/>
          <w:sz w:val="24"/>
        </w:rPr>
        <w:t>(   ) Sim, infecção pelo HIV</w:t>
      </w:r>
    </w:p>
    <w:p>
      <w:pPr>
        <w:spacing w:after="20" w:line="276" w:lineRule="auto"/>
        <w:ind w:left="340"/>
        <w:jc w:val="left"/>
      </w:pPr>
      <w:r>
        <w:rPr>
          <w:rFonts w:ascii="Times New Roman" w:hAnsi="Times New Roman"/>
          <w:b w:val="0"/>
          <w:i w:val="0"/>
          <w:color w:val="000000"/>
          <w:sz w:val="24"/>
        </w:rPr>
        <w:t>(   ) Sim, outra (qual?) __________</w:t>
      </w:r>
    </w:p>
    <w:p>
      <w:pPr>
        <w:spacing w:after="80" w:line="276" w:lineRule="auto"/>
        <w:jc w:val="left"/>
      </w:pPr>
      <w:r>
        <w:rPr>
          <w:rFonts w:ascii="Times New Roman" w:hAnsi="Times New Roman"/>
          <w:b w:val="0"/>
          <w:i w:val="0"/>
          <w:color w:val="000000"/>
          <w:sz w:val="24"/>
        </w:rPr>
        <w:t>Anti-hipertensores que tomava antes da admissão (nome, dose, vezes por dia): 1. ______________ 2. ______________ 3. ______________ 4. ______________ 5. ______________</w:t>
      </w:r>
    </w:p>
    <w:p>
      <w:pPr>
        <w:keepNext/>
        <w:spacing w:after="80" w:line="276" w:lineRule="auto" w:before="80"/>
        <w:jc w:val="left"/>
      </w:pPr>
      <w:r>
        <w:rPr>
          <w:rFonts w:ascii="Times New Roman" w:hAnsi="Times New Roman"/>
          <w:b w:val="0"/>
          <w:i w:val="0"/>
          <w:color w:val="000000"/>
          <w:sz w:val="24"/>
        </w:rPr>
        <w:t>13. Como acha que estava controlada a sua tensão antes deste internamento?</w:t>
      </w:r>
    </w:p>
    <w:p>
      <w:pPr>
        <w:spacing w:after="80" w:line="276" w:lineRule="auto"/>
        <w:ind w:left="340"/>
        <w:jc w:val="left"/>
      </w:pPr>
      <w:r>
        <w:rPr>
          <w:rFonts w:ascii="Times New Roman" w:hAnsi="Times New Roman"/>
          <w:b w:val="0"/>
          <w:i w:val="0"/>
          <w:color w:val="000000"/>
          <w:sz w:val="24"/>
        </w:rPr>
        <w:t>(   ) Bem controlada     (   ) Mais ou menos     (   ) Mal controlada</w:t>
      </w:r>
    </w:p>
    <w:p>
      <w:pPr>
        <w:keepNext/>
        <w:spacing w:after="80" w:line="276" w:lineRule="auto" w:before="80"/>
        <w:jc w:val="left"/>
      </w:pPr>
      <w:r>
        <w:rPr>
          <w:rFonts w:ascii="Times New Roman" w:hAnsi="Times New Roman"/>
          <w:b w:val="0"/>
          <w:i w:val="0"/>
          <w:color w:val="000000"/>
          <w:sz w:val="24"/>
        </w:rPr>
        <w:t>14. Nos últimos 3 meses, alguma vez faltou o seu anti-hipertensor na farmácia da unidade sanitária onde é seguido?</w:t>
      </w:r>
    </w:p>
    <w:p>
      <w:pPr>
        <w:spacing w:after="80" w:line="276" w:lineRule="auto"/>
        <w:ind w:left="340"/>
        <w:jc w:val="left"/>
      </w:pPr>
      <w:r>
        <w:rPr>
          <w:rFonts w:ascii="Times New Roman" w:hAnsi="Times New Roman"/>
          <w:b w:val="0"/>
          <w:i w:val="0"/>
          <w:color w:val="000000"/>
          <w:sz w:val="24"/>
        </w:rPr>
        <w:t>(   ) Sim     (   ) Não</w:t>
      </w:r>
    </w:p>
    <w:p>
      <w:pPr>
        <w:keepNext/>
        <w:spacing w:before="200" w:after="80" w:line="276" w:lineRule="auto"/>
        <w:jc w:val="left"/>
      </w:pPr>
      <w:r>
        <w:rPr>
          <w:rFonts w:ascii="Times New Roman" w:hAnsi="Times New Roman"/>
          <w:b/>
          <w:i w:val="0"/>
          <w:color w:val="000000"/>
          <w:sz w:val="24"/>
        </w:rPr>
        <w:t>Secção IV. Uso de plantas medicinais e preparações tradicionais</w:t>
      </w:r>
    </w:p>
    <w:p>
      <w:pPr>
        <w:spacing w:before="40" w:after="160" w:line="240" w:lineRule="auto"/>
        <w:jc w:val="both"/>
      </w:pPr>
      <w:r>
        <w:rPr>
          <w:rFonts w:ascii="Times New Roman" w:hAnsi="Times New Roman"/>
          <w:b w:val="0"/>
          <w:i w:val="0"/>
          <w:color w:val="000000"/>
          <w:sz w:val="20"/>
        </w:rPr>
        <w:t>Ler antes das perguntas: «Muitas pessoas com tensão alta usam também plantas, chás, raízes, cascas, pós ou remédios tradicionais, comprados, recebidos ou preparados em casa. Queremos saber como é consigo. Não há respostas certas nem erradas, e a sua resposta não muda nada no seu tratamento aqui no hospital.» Não contam os alimentos comidos só como comida.</w:t>
      </w:r>
    </w:p>
    <w:p>
      <w:pPr>
        <w:keepNext/>
        <w:spacing w:after="80" w:line="276" w:lineRule="auto" w:before="80"/>
        <w:jc w:val="left"/>
      </w:pPr>
      <w:r>
        <w:rPr>
          <w:rFonts w:ascii="Times New Roman" w:hAnsi="Times New Roman"/>
          <w:b w:val="0"/>
          <w:i w:val="0"/>
          <w:color w:val="000000"/>
          <w:sz w:val="24"/>
        </w:rPr>
        <w:t>15. Nos últimos 12 meses, consultou algum praticante de medicina tradicional?</w:t>
      </w:r>
    </w:p>
    <w:p>
      <w:pPr>
        <w:spacing w:after="80" w:line="276" w:lineRule="auto"/>
        <w:ind w:left="340"/>
        <w:jc w:val="left"/>
      </w:pPr>
      <w:r>
        <w:rPr>
          <w:rFonts w:ascii="Times New Roman" w:hAnsi="Times New Roman"/>
          <w:b w:val="0"/>
          <w:i w:val="0"/>
          <w:color w:val="000000"/>
          <w:sz w:val="24"/>
        </w:rPr>
        <w:t>(   ) Sim     (   ) Não</w:t>
      </w:r>
    </w:p>
    <w:p>
      <w:pPr>
        <w:keepNext/>
        <w:spacing w:after="80" w:line="276" w:lineRule="auto" w:before="80"/>
        <w:jc w:val="left"/>
      </w:pPr>
      <w:r>
        <w:rPr>
          <w:rFonts w:ascii="Times New Roman" w:hAnsi="Times New Roman"/>
          <w:b w:val="0"/>
          <w:i w:val="0"/>
          <w:color w:val="000000"/>
          <w:sz w:val="24"/>
        </w:rPr>
        <w:t>16. Nos últimos 12 meses, usou alguma planta, chá, raiz, casca, pó, mistura ou remédio tradicional para a sua saúde?</w:t>
      </w:r>
    </w:p>
    <w:p>
      <w:pPr>
        <w:spacing w:after="80" w:line="276" w:lineRule="auto"/>
        <w:ind w:left="340"/>
        <w:jc w:val="left"/>
      </w:pPr>
      <w:r>
        <w:rPr>
          <w:rFonts w:ascii="Times New Roman" w:hAnsi="Times New Roman"/>
          <w:b w:val="0"/>
          <w:i w:val="0"/>
          <w:color w:val="000000"/>
          <w:sz w:val="24"/>
        </w:rPr>
        <w:t>(   ) Sim     (   ) Não (passar à Secção VI)</w:t>
      </w:r>
    </w:p>
    <w:p>
      <w:pPr>
        <w:keepNext/>
        <w:spacing w:after="80" w:line="276" w:lineRule="auto" w:before="80"/>
        <w:jc w:val="left"/>
      </w:pPr>
      <w:r>
        <w:rPr>
          <w:rFonts w:ascii="Times New Roman" w:hAnsi="Times New Roman"/>
          <w:b w:val="0"/>
          <w:i w:val="0"/>
          <w:color w:val="000000"/>
          <w:sz w:val="24"/>
        </w:rPr>
        <w:t>17. Nos 30 dias antes de ser internado, usou alguma dessas plantas ou remédios?</w:t>
      </w:r>
    </w:p>
    <w:p>
      <w:pPr>
        <w:spacing w:after="80" w:line="276" w:lineRule="auto"/>
        <w:ind w:left="340"/>
        <w:jc w:val="left"/>
      </w:pPr>
      <w:r>
        <w:rPr>
          <w:rFonts w:ascii="Times New Roman" w:hAnsi="Times New Roman"/>
          <w:b w:val="0"/>
          <w:i w:val="0"/>
          <w:color w:val="000000"/>
          <w:sz w:val="24"/>
        </w:rPr>
        <w:t>(   ) Sim     (   ) Não</w:t>
      </w:r>
    </w:p>
    <w:p>
      <w:pPr>
        <w:keepNext/>
        <w:spacing w:after="80" w:line="276" w:lineRule="auto" w:before="80"/>
        <w:jc w:val="left"/>
      </w:pPr>
      <w:r>
        <w:rPr>
          <w:rFonts w:ascii="Times New Roman" w:hAnsi="Times New Roman"/>
          <w:b w:val="0"/>
          <w:i w:val="0"/>
          <w:color w:val="000000"/>
          <w:sz w:val="24"/>
        </w:rPr>
        <w:t>18. Por que razão usa plantas além dos anti-hipertensores? (pode marcar mais de uma)</w:t>
      </w:r>
    </w:p>
    <w:p>
      <w:pPr>
        <w:spacing w:after="20" w:line="276" w:lineRule="auto"/>
        <w:ind w:left="340"/>
        <w:jc w:val="left"/>
      </w:pPr>
      <w:r>
        <w:rPr>
          <w:rFonts w:ascii="Times New Roman" w:hAnsi="Times New Roman"/>
          <w:b w:val="0"/>
          <w:i w:val="0"/>
          <w:color w:val="000000"/>
          <w:sz w:val="24"/>
        </w:rPr>
        <w:t>(   ) Acha que as plantas tratam ou curam a tensão alta</w:t>
      </w:r>
    </w:p>
    <w:p>
      <w:pPr>
        <w:spacing w:after="20" w:line="276" w:lineRule="auto"/>
        <w:ind w:left="340"/>
        <w:jc w:val="left"/>
      </w:pPr>
      <w:r>
        <w:rPr>
          <w:rFonts w:ascii="Times New Roman" w:hAnsi="Times New Roman"/>
          <w:b w:val="0"/>
          <w:i w:val="0"/>
          <w:color w:val="000000"/>
          <w:sz w:val="24"/>
        </w:rPr>
        <w:t>(   ) Os medicamentos não chegam para controlar a tensão</w:t>
      </w:r>
    </w:p>
    <w:p>
      <w:pPr>
        <w:spacing w:after="20" w:line="276" w:lineRule="auto"/>
        <w:ind w:left="340"/>
        <w:jc w:val="left"/>
      </w:pPr>
      <w:r>
        <w:rPr>
          <w:rFonts w:ascii="Times New Roman" w:hAnsi="Times New Roman"/>
          <w:b w:val="0"/>
          <w:i w:val="0"/>
          <w:color w:val="000000"/>
          <w:sz w:val="24"/>
        </w:rPr>
        <w:t>(   ) Efeitos incómodos dos medicamentos</w:t>
      </w:r>
    </w:p>
    <w:p>
      <w:pPr>
        <w:spacing w:after="20" w:line="276" w:lineRule="auto"/>
        <w:ind w:left="340"/>
        <w:jc w:val="left"/>
      </w:pPr>
      <w:r>
        <w:rPr>
          <w:rFonts w:ascii="Times New Roman" w:hAnsi="Times New Roman"/>
          <w:b w:val="0"/>
          <w:i w:val="0"/>
          <w:color w:val="000000"/>
          <w:sz w:val="24"/>
        </w:rPr>
        <w:t>(   ) Falta do medicamento na unidade</w:t>
      </w:r>
    </w:p>
    <w:p>
      <w:pPr>
        <w:spacing w:after="20" w:line="276" w:lineRule="auto"/>
        <w:ind w:left="340"/>
        <w:jc w:val="left"/>
      </w:pPr>
      <w:r>
        <w:rPr>
          <w:rFonts w:ascii="Times New Roman" w:hAnsi="Times New Roman"/>
          <w:b w:val="0"/>
          <w:i w:val="0"/>
          <w:color w:val="000000"/>
          <w:sz w:val="24"/>
        </w:rPr>
        <w:t>(   ) Custo</w:t>
      </w:r>
    </w:p>
    <w:p>
      <w:pPr>
        <w:spacing w:after="20" w:line="276" w:lineRule="auto"/>
        <w:ind w:left="340"/>
        <w:jc w:val="left"/>
      </w:pPr>
      <w:r>
        <w:rPr>
          <w:rFonts w:ascii="Times New Roman" w:hAnsi="Times New Roman"/>
          <w:b w:val="0"/>
          <w:i w:val="0"/>
          <w:color w:val="000000"/>
          <w:sz w:val="24"/>
        </w:rPr>
        <w:t>(   ) Conselho da família ou de amigos</w:t>
      </w:r>
    </w:p>
    <w:p>
      <w:pPr>
        <w:spacing w:after="20" w:line="276" w:lineRule="auto"/>
        <w:ind w:left="340"/>
        <w:jc w:val="left"/>
      </w:pPr>
      <w:r>
        <w:rPr>
          <w:rFonts w:ascii="Times New Roman" w:hAnsi="Times New Roman"/>
          <w:b w:val="0"/>
          <w:i w:val="0"/>
          <w:color w:val="000000"/>
          <w:sz w:val="24"/>
        </w:rPr>
        <w:t>(   ) Tradição da família</w:t>
      </w:r>
    </w:p>
    <w:p>
      <w:pPr>
        <w:spacing w:after="20" w:line="276" w:lineRule="auto"/>
        <w:ind w:left="340"/>
        <w:jc w:val="left"/>
      </w:pPr>
      <w:r>
        <w:rPr>
          <w:rFonts w:ascii="Times New Roman" w:hAnsi="Times New Roman"/>
          <w:b w:val="0"/>
          <w:i w:val="0"/>
          <w:color w:val="000000"/>
          <w:sz w:val="24"/>
        </w:rPr>
        <w:t>(   ) Outra (qual?) __________</w:t>
      </w:r>
    </w:p>
    <w:p>
      <w:pPr>
        <w:keepNext/>
        <w:spacing w:before="200" w:after="80" w:line="276" w:lineRule="auto"/>
        <w:jc w:val="left"/>
      </w:pPr>
      <w:r>
        <w:rPr>
          <w:rFonts w:ascii="Times New Roman" w:hAnsi="Times New Roman"/>
          <w:b/>
          <w:i w:val="0"/>
          <w:color w:val="000000"/>
          <w:sz w:val="24"/>
        </w:rPr>
        <w:t>Secção V. Ficha de cada planta ou preparação (repetir até cinco)</w:t>
      </w:r>
    </w:p>
    <w:p>
      <w:pPr>
        <w:spacing w:before="40" w:after="160" w:line="240" w:lineRule="auto"/>
        <w:jc w:val="both"/>
      </w:pPr>
      <w:r>
        <w:rPr>
          <w:rFonts w:ascii="Times New Roman" w:hAnsi="Times New Roman"/>
          <w:b w:val="0"/>
          <w:i w:val="0"/>
          <w:color w:val="000000"/>
          <w:sz w:val="20"/>
        </w:rPr>
        <w:t>Uma ficha por planta ou preparação usada nos últimos 12 meses, começando pelas dos últimos 30 dias. Se for uma mistura, registar os componentes que o participante conheça.</w:t>
      </w:r>
    </w:p>
    <w:p>
      <w:pPr>
        <w:spacing w:after="80" w:line="276" w:lineRule="auto"/>
        <w:jc w:val="left"/>
      </w:pPr>
      <w:r>
        <w:rPr>
          <w:rFonts w:ascii="Times New Roman" w:hAnsi="Times New Roman"/>
          <w:b w:val="0"/>
          <w:i w:val="0"/>
          <w:color w:val="000000"/>
          <w:sz w:val="24"/>
        </w:rPr>
        <w:t>Planta n.º ___   Nome em emakhuwa: ______________   Nome em português: ______________   Outro nome: ______________</w:t>
      </w:r>
    </w:p>
    <w:p>
      <w:pPr>
        <w:keepNext/>
        <w:spacing w:after="80" w:line="276" w:lineRule="auto" w:before="80"/>
        <w:jc w:val="left"/>
      </w:pPr>
      <w:r>
        <w:rPr>
          <w:rFonts w:ascii="Times New Roman" w:hAnsi="Times New Roman"/>
          <w:b w:val="0"/>
          <w:i w:val="0"/>
          <w:color w:val="000000"/>
          <w:sz w:val="24"/>
        </w:rPr>
        <w:t>19. Usou esta planta nos últimos 30 dias?</w:t>
      </w:r>
    </w:p>
    <w:p>
      <w:pPr>
        <w:spacing w:after="80" w:line="276" w:lineRule="auto"/>
        <w:ind w:left="340"/>
        <w:jc w:val="left"/>
      </w:pPr>
      <w:r>
        <w:rPr>
          <w:rFonts w:ascii="Times New Roman" w:hAnsi="Times New Roman"/>
          <w:b w:val="0"/>
          <w:i w:val="0"/>
          <w:color w:val="000000"/>
          <w:sz w:val="24"/>
        </w:rPr>
        <w:t>(   ) Sim     (   ) Não</w:t>
      </w:r>
    </w:p>
    <w:p>
      <w:pPr>
        <w:keepNext/>
        <w:spacing w:after="80" w:line="276" w:lineRule="auto" w:before="80"/>
        <w:jc w:val="left"/>
      </w:pPr>
      <w:r>
        <w:rPr>
          <w:rFonts w:ascii="Times New Roman" w:hAnsi="Times New Roman"/>
          <w:b w:val="0"/>
          <w:i w:val="0"/>
          <w:color w:val="000000"/>
          <w:sz w:val="24"/>
        </w:rPr>
        <w:t>20. Parte usada:</w:t>
      </w:r>
    </w:p>
    <w:p>
      <w:pPr>
        <w:spacing w:after="20" w:line="276" w:lineRule="auto"/>
        <w:ind w:left="340"/>
        <w:jc w:val="left"/>
      </w:pPr>
      <w:r>
        <w:rPr>
          <w:rFonts w:ascii="Times New Roman" w:hAnsi="Times New Roman"/>
          <w:b w:val="0"/>
          <w:i w:val="0"/>
          <w:color w:val="000000"/>
          <w:sz w:val="24"/>
        </w:rPr>
        <w:t>(   ) Raiz</w:t>
      </w:r>
    </w:p>
    <w:p>
      <w:pPr>
        <w:spacing w:after="20" w:line="276" w:lineRule="auto"/>
        <w:ind w:left="340"/>
        <w:jc w:val="left"/>
      </w:pPr>
      <w:r>
        <w:rPr>
          <w:rFonts w:ascii="Times New Roman" w:hAnsi="Times New Roman"/>
          <w:b w:val="0"/>
          <w:i w:val="0"/>
          <w:color w:val="000000"/>
          <w:sz w:val="24"/>
        </w:rPr>
        <w:t>(   ) Casca</w:t>
      </w:r>
    </w:p>
    <w:p>
      <w:pPr>
        <w:spacing w:after="20" w:line="276" w:lineRule="auto"/>
        <w:ind w:left="340"/>
        <w:jc w:val="left"/>
      </w:pPr>
      <w:r>
        <w:rPr>
          <w:rFonts w:ascii="Times New Roman" w:hAnsi="Times New Roman"/>
          <w:b w:val="0"/>
          <w:i w:val="0"/>
          <w:color w:val="000000"/>
          <w:sz w:val="24"/>
        </w:rPr>
        <w:t>(   ) Folha</w:t>
      </w:r>
    </w:p>
    <w:p>
      <w:pPr>
        <w:spacing w:after="20" w:line="276" w:lineRule="auto"/>
        <w:ind w:left="340"/>
        <w:jc w:val="left"/>
      </w:pPr>
      <w:r>
        <w:rPr>
          <w:rFonts w:ascii="Times New Roman" w:hAnsi="Times New Roman"/>
          <w:b w:val="0"/>
          <w:i w:val="0"/>
          <w:color w:val="000000"/>
          <w:sz w:val="24"/>
        </w:rPr>
        <w:t>(   ) Fruto ou semente</w:t>
      </w:r>
    </w:p>
    <w:p>
      <w:pPr>
        <w:spacing w:after="20" w:line="276" w:lineRule="auto"/>
        <w:ind w:left="340"/>
        <w:jc w:val="left"/>
      </w:pPr>
      <w:r>
        <w:rPr>
          <w:rFonts w:ascii="Times New Roman" w:hAnsi="Times New Roman"/>
          <w:b w:val="0"/>
          <w:i w:val="0"/>
          <w:color w:val="000000"/>
          <w:sz w:val="24"/>
        </w:rPr>
        <w:t>(   ) Flor</w:t>
      </w:r>
    </w:p>
    <w:p>
      <w:pPr>
        <w:spacing w:after="20" w:line="276" w:lineRule="auto"/>
        <w:ind w:left="340"/>
        <w:jc w:val="left"/>
      </w:pPr>
      <w:r>
        <w:rPr>
          <w:rFonts w:ascii="Times New Roman" w:hAnsi="Times New Roman"/>
          <w:b w:val="0"/>
          <w:i w:val="0"/>
          <w:color w:val="000000"/>
          <w:sz w:val="24"/>
        </w:rPr>
        <w:t>(   ) Planta inteira</w:t>
      </w:r>
    </w:p>
    <w:p>
      <w:pPr>
        <w:spacing w:after="20" w:line="276" w:lineRule="auto"/>
        <w:ind w:left="340"/>
        <w:jc w:val="left"/>
      </w:pPr>
      <w:r>
        <w:rPr>
          <w:rFonts w:ascii="Times New Roman" w:hAnsi="Times New Roman"/>
          <w:b w:val="0"/>
          <w:i w:val="0"/>
          <w:color w:val="000000"/>
          <w:sz w:val="24"/>
        </w:rPr>
        <w:t>(   ) Não sabe (produto já preparado)</w:t>
      </w:r>
    </w:p>
    <w:p>
      <w:pPr>
        <w:keepNext/>
        <w:spacing w:after="80" w:line="276" w:lineRule="auto" w:before="80"/>
        <w:jc w:val="left"/>
      </w:pPr>
      <w:r>
        <w:rPr>
          <w:rFonts w:ascii="Times New Roman" w:hAnsi="Times New Roman"/>
          <w:b w:val="0"/>
          <w:i w:val="0"/>
          <w:color w:val="000000"/>
          <w:sz w:val="24"/>
        </w:rPr>
        <w:t>21. Forma de preparação:</w:t>
      </w:r>
    </w:p>
    <w:p>
      <w:pPr>
        <w:spacing w:after="20" w:line="276" w:lineRule="auto"/>
        <w:ind w:left="340"/>
        <w:jc w:val="left"/>
      </w:pPr>
      <w:r>
        <w:rPr>
          <w:rFonts w:ascii="Times New Roman" w:hAnsi="Times New Roman"/>
          <w:b w:val="0"/>
          <w:i w:val="0"/>
          <w:color w:val="000000"/>
          <w:sz w:val="24"/>
        </w:rPr>
        <w:t>(   ) Fervida (decocção)</w:t>
      </w:r>
    </w:p>
    <w:p>
      <w:pPr>
        <w:spacing w:after="20" w:line="276" w:lineRule="auto"/>
        <w:ind w:left="340"/>
        <w:jc w:val="left"/>
      </w:pPr>
      <w:r>
        <w:rPr>
          <w:rFonts w:ascii="Times New Roman" w:hAnsi="Times New Roman"/>
          <w:b w:val="0"/>
          <w:i w:val="0"/>
          <w:color w:val="000000"/>
          <w:sz w:val="24"/>
        </w:rPr>
        <w:t>(   ) Chá (infusão)</w:t>
      </w:r>
    </w:p>
    <w:p>
      <w:pPr>
        <w:spacing w:after="20" w:line="276" w:lineRule="auto"/>
        <w:ind w:left="340"/>
        <w:jc w:val="left"/>
      </w:pPr>
      <w:r>
        <w:rPr>
          <w:rFonts w:ascii="Times New Roman" w:hAnsi="Times New Roman"/>
          <w:b w:val="0"/>
          <w:i w:val="0"/>
          <w:color w:val="000000"/>
          <w:sz w:val="24"/>
        </w:rPr>
        <w:t>(   ) Em água fria (maceração)</w:t>
      </w:r>
    </w:p>
    <w:p>
      <w:pPr>
        <w:spacing w:after="20" w:line="276" w:lineRule="auto"/>
        <w:ind w:left="340"/>
        <w:jc w:val="left"/>
      </w:pPr>
      <w:r>
        <w:rPr>
          <w:rFonts w:ascii="Times New Roman" w:hAnsi="Times New Roman"/>
          <w:b w:val="0"/>
          <w:i w:val="0"/>
          <w:color w:val="000000"/>
          <w:sz w:val="24"/>
        </w:rPr>
        <w:t>(   ) Pó</w:t>
      </w:r>
    </w:p>
    <w:p>
      <w:pPr>
        <w:spacing w:after="20" w:line="276" w:lineRule="auto"/>
        <w:ind w:left="340"/>
        <w:jc w:val="left"/>
      </w:pPr>
      <w:r>
        <w:rPr>
          <w:rFonts w:ascii="Times New Roman" w:hAnsi="Times New Roman"/>
          <w:b w:val="0"/>
          <w:i w:val="0"/>
          <w:color w:val="000000"/>
          <w:sz w:val="24"/>
        </w:rPr>
        <w:t>(   ) Sumo ou fresca</w:t>
      </w:r>
    </w:p>
    <w:p>
      <w:pPr>
        <w:spacing w:after="20" w:line="276" w:lineRule="auto"/>
        <w:ind w:left="340"/>
        <w:jc w:val="left"/>
      </w:pPr>
      <w:r>
        <w:rPr>
          <w:rFonts w:ascii="Times New Roman" w:hAnsi="Times New Roman"/>
          <w:b w:val="0"/>
          <w:i w:val="0"/>
          <w:color w:val="000000"/>
          <w:sz w:val="24"/>
        </w:rPr>
        <w:t>(   ) Mistura já preparada</w:t>
      </w:r>
    </w:p>
    <w:p>
      <w:pPr>
        <w:spacing w:after="20" w:line="276" w:lineRule="auto"/>
        <w:ind w:left="340"/>
        <w:jc w:val="left"/>
      </w:pPr>
      <w:r>
        <w:rPr>
          <w:rFonts w:ascii="Times New Roman" w:hAnsi="Times New Roman"/>
          <w:b w:val="0"/>
          <w:i w:val="0"/>
          <w:color w:val="000000"/>
          <w:sz w:val="24"/>
        </w:rPr>
        <w:t>(   ) Produto embalado</w:t>
      </w:r>
    </w:p>
    <w:p>
      <w:pPr>
        <w:spacing w:after="20" w:line="276" w:lineRule="auto"/>
        <w:ind w:left="340"/>
        <w:jc w:val="left"/>
      </w:pPr>
      <w:r>
        <w:rPr>
          <w:rFonts w:ascii="Times New Roman" w:hAnsi="Times New Roman"/>
          <w:b w:val="0"/>
          <w:i w:val="0"/>
          <w:color w:val="000000"/>
          <w:sz w:val="24"/>
        </w:rPr>
        <w:t>(   ) Outra</w:t>
      </w:r>
    </w:p>
    <w:p>
      <w:pPr>
        <w:keepNext/>
        <w:spacing w:after="80" w:line="276" w:lineRule="auto" w:before="80"/>
        <w:jc w:val="left"/>
      </w:pPr>
      <w:r>
        <w:rPr>
          <w:rFonts w:ascii="Times New Roman" w:hAnsi="Times New Roman"/>
          <w:b w:val="0"/>
          <w:i w:val="0"/>
          <w:color w:val="000000"/>
          <w:sz w:val="24"/>
        </w:rPr>
        <w:t>22. Como usa:</w:t>
      </w:r>
    </w:p>
    <w:p>
      <w:pPr>
        <w:spacing w:after="20" w:line="276" w:lineRule="auto"/>
        <w:ind w:left="340"/>
        <w:jc w:val="left"/>
      </w:pPr>
      <w:r>
        <w:rPr>
          <w:rFonts w:ascii="Times New Roman" w:hAnsi="Times New Roman"/>
          <w:b w:val="0"/>
          <w:i w:val="0"/>
          <w:color w:val="000000"/>
          <w:sz w:val="24"/>
        </w:rPr>
        <w:t>(   ) Bebe ou come</w:t>
      </w:r>
    </w:p>
    <w:p>
      <w:pPr>
        <w:spacing w:after="20" w:line="276" w:lineRule="auto"/>
        <w:ind w:left="340"/>
        <w:jc w:val="left"/>
      </w:pPr>
      <w:r>
        <w:rPr>
          <w:rFonts w:ascii="Times New Roman" w:hAnsi="Times New Roman"/>
          <w:b w:val="0"/>
          <w:i w:val="0"/>
          <w:color w:val="000000"/>
          <w:sz w:val="24"/>
        </w:rPr>
        <w:t>(   ) Aplica na pele</w:t>
      </w:r>
    </w:p>
    <w:p>
      <w:pPr>
        <w:spacing w:after="20" w:line="276" w:lineRule="auto"/>
        <w:ind w:left="340"/>
        <w:jc w:val="left"/>
      </w:pPr>
      <w:r>
        <w:rPr>
          <w:rFonts w:ascii="Times New Roman" w:hAnsi="Times New Roman"/>
          <w:b w:val="0"/>
          <w:i w:val="0"/>
          <w:color w:val="000000"/>
          <w:sz w:val="24"/>
        </w:rPr>
        <w:t>(   ) Banho</w:t>
      </w:r>
    </w:p>
    <w:p>
      <w:pPr>
        <w:spacing w:after="20" w:line="276" w:lineRule="auto"/>
        <w:ind w:left="340"/>
        <w:jc w:val="left"/>
      </w:pPr>
      <w:r>
        <w:rPr>
          <w:rFonts w:ascii="Times New Roman" w:hAnsi="Times New Roman"/>
          <w:b w:val="0"/>
          <w:i w:val="0"/>
          <w:color w:val="000000"/>
          <w:sz w:val="24"/>
        </w:rPr>
        <w:t>(   ) Vapor ou inalação</w:t>
      </w:r>
    </w:p>
    <w:p>
      <w:pPr>
        <w:spacing w:after="20" w:line="276" w:lineRule="auto"/>
        <w:ind w:left="340"/>
        <w:jc w:val="left"/>
      </w:pPr>
      <w:r>
        <w:rPr>
          <w:rFonts w:ascii="Times New Roman" w:hAnsi="Times New Roman"/>
          <w:b w:val="0"/>
          <w:i w:val="0"/>
          <w:color w:val="000000"/>
          <w:sz w:val="24"/>
        </w:rPr>
        <w:t>(   ) Outra</w:t>
      </w:r>
    </w:p>
    <w:p>
      <w:pPr>
        <w:keepNext/>
        <w:spacing w:after="80" w:line="276" w:lineRule="auto" w:before="80"/>
        <w:jc w:val="left"/>
      </w:pPr>
      <w:r>
        <w:rPr>
          <w:rFonts w:ascii="Times New Roman" w:hAnsi="Times New Roman"/>
          <w:b w:val="0"/>
          <w:i w:val="0"/>
          <w:color w:val="000000"/>
          <w:sz w:val="24"/>
        </w:rPr>
        <w:t>23. Com que frequência:</w:t>
      </w:r>
    </w:p>
    <w:p>
      <w:pPr>
        <w:spacing w:after="80" w:line="276" w:lineRule="auto"/>
        <w:ind w:left="340"/>
        <w:jc w:val="left"/>
      </w:pPr>
      <w:r>
        <w:rPr>
          <w:rFonts w:ascii="Times New Roman" w:hAnsi="Times New Roman"/>
          <w:b w:val="0"/>
          <w:i w:val="0"/>
          <w:color w:val="000000"/>
          <w:sz w:val="24"/>
        </w:rPr>
        <w:t>(   ) Todos os dias     (   ) Algumas vezes por semana     (   ) De vez em quando</w:t>
      </w:r>
    </w:p>
    <w:p>
      <w:pPr>
        <w:keepNext/>
        <w:spacing w:after="80" w:line="276" w:lineRule="auto" w:before="80"/>
        <w:jc w:val="left"/>
      </w:pPr>
      <w:r>
        <w:rPr>
          <w:rFonts w:ascii="Times New Roman" w:hAnsi="Times New Roman"/>
          <w:b w:val="0"/>
          <w:i w:val="0"/>
          <w:color w:val="000000"/>
          <w:sz w:val="24"/>
        </w:rPr>
        <w:t>24. Há quantos meses usa esta planta? ______</w:t>
      </w:r>
    </w:p>
    <w:p>
      <w:pPr>
        <w:spacing w:after="80" w:line="276" w:lineRule="auto"/>
        <w:jc w:val="left"/>
      </w:pPr>
      <w:r>
        <w:rPr>
          <w:rFonts w:ascii="Times New Roman" w:hAnsi="Times New Roman"/>
          <w:b w:val="0"/>
          <w:i w:val="0"/>
          <w:color w:val="000000"/>
          <w:sz w:val="24"/>
        </w:rPr>
        <w:t>______________________________________________________________</w:t>
      </w:r>
    </w:p>
    <w:p>
      <w:pPr>
        <w:keepNext/>
        <w:spacing w:after="80" w:line="276" w:lineRule="auto" w:before="80"/>
        <w:jc w:val="left"/>
      </w:pPr>
      <w:r>
        <w:rPr>
          <w:rFonts w:ascii="Times New Roman" w:hAnsi="Times New Roman"/>
          <w:b w:val="0"/>
          <w:i w:val="0"/>
          <w:color w:val="000000"/>
          <w:sz w:val="24"/>
        </w:rPr>
        <w:t>25. Para que usa (pode marcar mais de uma):</w:t>
      </w:r>
    </w:p>
    <w:p>
      <w:pPr>
        <w:spacing w:after="20" w:line="276" w:lineRule="auto"/>
        <w:ind w:left="340"/>
        <w:jc w:val="left"/>
      </w:pPr>
      <w:r>
        <w:rPr>
          <w:rFonts w:ascii="Times New Roman" w:hAnsi="Times New Roman"/>
          <w:b w:val="0"/>
          <w:i w:val="0"/>
          <w:color w:val="000000"/>
          <w:sz w:val="24"/>
        </w:rPr>
        <w:t>(   ) Tratar a hipertensão</w:t>
      </w:r>
    </w:p>
    <w:p>
      <w:pPr>
        <w:spacing w:after="20" w:line="276" w:lineRule="auto"/>
        <w:ind w:left="340"/>
        <w:jc w:val="left"/>
      </w:pPr>
      <w:r>
        <w:rPr>
          <w:rFonts w:ascii="Times New Roman" w:hAnsi="Times New Roman"/>
          <w:b w:val="0"/>
          <w:i w:val="0"/>
          <w:color w:val="000000"/>
          <w:sz w:val="24"/>
        </w:rPr>
        <w:t>(   ) Aliviar efeitos dos anti-hipertensores</w:t>
      </w:r>
    </w:p>
    <w:p>
      <w:pPr>
        <w:spacing w:after="20" w:line="276" w:lineRule="auto"/>
        <w:ind w:left="340"/>
        <w:jc w:val="left"/>
      </w:pPr>
      <w:r>
        <w:rPr>
          <w:rFonts w:ascii="Times New Roman" w:hAnsi="Times New Roman"/>
          <w:b w:val="0"/>
          <w:i w:val="0"/>
          <w:color w:val="000000"/>
          <w:sz w:val="24"/>
        </w:rPr>
        <w:t>(   ) Outro problema de saúde</w:t>
      </w:r>
    </w:p>
    <w:p>
      <w:pPr>
        <w:spacing w:after="20" w:line="276" w:lineRule="auto"/>
        <w:ind w:left="340"/>
        <w:jc w:val="left"/>
      </w:pPr>
      <w:r>
        <w:rPr>
          <w:rFonts w:ascii="Times New Roman" w:hAnsi="Times New Roman"/>
          <w:b w:val="0"/>
          <w:i w:val="0"/>
          <w:color w:val="000000"/>
          <w:sz w:val="24"/>
        </w:rPr>
        <w:t>(   ) Reforçar o organismo</w:t>
      </w:r>
    </w:p>
    <w:p>
      <w:pPr>
        <w:spacing w:after="20" w:line="276" w:lineRule="auto"/>
        <w:ind w:left="340"/>
        <w:jc w:val="left"/>
      </w:pPr>
      <w:r>
        <w:rPr>
          <w:rFonts w:ascii="Times New Roman" w:hAnsi="Times New Roman"/>
          <w:b w:val="0"/>
          <w:i w:val="0"/>
          <w:color w:val="000000"/>
          <w:sz w:val="24"/>
        </w:rPr>
        <w:t>(   ) Problema espiritual ou de protecção</w:t>
      </w:r>
    </w:p>
    <w:p>
      <w:pPr>
        <w:spacing w:after="20" w:line="276" w:lineRule="auto"/>
        <w:ind w:left="340"/>
        <w:jc w:val="left"/>
      </w:pPr>
      <w:r>
        <w:rPr>
          <w:rFonts w:ascii="Times New Roman" w:hAnsi="Times New Roman"/>
          <w:b w:val="0"/>
          <w:i w:val="0"/>
          <w:color w:val="000000"/>
          <w:sz w:val="24"/>
        </w:rPr>
        <w:t>(   ) Outro</w:t>
      </w:r>
    </w:p>
    <w:p>
      <w:pPr>
        <w:keepNext/>
        <w:spacing w:after="80" w:line="276" w:lineRule="auto" w:before="80"/>
        <w:jc w:val="left"/>
      </w:pPr>
      <w:r>
        <w:rPr>
          <w:rFonts w:ascii="Times New Roman" w:hAnsi="Times New Roman"/>
          <w:b w:val="0"/>
          <w:i w:val="0"/>
          <w:color w:val="000000"/>
          <w:sz w:val="24"/>
        </w:rPr>
        <w:t>26. Onde obtém:</w:t>
      </w:r>
    </w:p>
    <w:p>
      <w:pPr>
        <w:spacing w:after="20" w:line="276" w:lineRule="auto"/>
        <w:ind w:left="340"/>
        <w:jc w:val="left"/>
      </w:pPr>
      <w:r>
        <w:rPr>
          <w:rFonts w:ascii="Times New Roman" w:hAnsi="Times New Roman"/>
          <w:b w:val="0"/>
          <w:i w:val="0"/>
          <w:color w:val="000000"/>
          <w:sz w:val="24"/>
        </w:rPr>
        <w:t>(   ) Praticante de medicina tradicional</w:t>
      </w:r>
    </w:p>
    <w:p>
      <w:pPr>
        <w:spacing w:after="20" w:line="276" w:lineRule="auto"/>
        <w:ind w:left="340"/>
        <w:jc w:val="left"/>
      </w:pPr>
      <w:r>
        <w:rPr>
          <w:rFonts w:ascii="Times New Roman" w:hAnsi="Times New Roman"/>
          <w:b w:val="0"/>
          <w:i w:val="0"/>
          <w:color w:val="000000"/>
          <w:sz w:val="24"/>
        </w:rPr>
        <w:t>(   ) Mercado ou vendedor</w:t>
      </w:r>
    </w:p>
    <w:p>
      <w:pPr>
        <w:spacing w:after="20" w:line="276" w:lineRule="auto"/>
        <w:ind w:left="340"/>
        <w:jc w:val="left"/>
      </w:pPr>
      <w:r>
        <w:rPr>
          <w:rFonts w:ascii="Times New Roman" w:hAnsi="Times New Roman"/>
          <w:b w:val="0"/>
          <w:i w:val="0"/>
          <w:color w:val="000000"/>
          <w:sz w:val="24"/>
        </w:rPr>
        <w:t>(   ) Cultiva em casa</w:t>
      </w:r>
    </w:p>
    <w:p>
      <w:pPr>
        <w:spacing w:after="20" w:line="276" w:lineRule="auto"/>
        <w:ind w:left="340"/>
        <w:jc w:val="left"/>
      </w:pPr>
      <w:r>
        <w:rPr>
          <w:rFonts w:ascii="Times New Roman" w:hAnsi="Times New Roman"/>
          <w:b w:val="0"/>
          <w:i w:val="0"/>
          <w:color w:val="000000"/>
          <w:sz w:val="24"/>
        </w:rPr>
        <w:t>(   ) Colhe no mato</w:t>
      </w:r>
    </w:p>
    <w:p>
      <w:pPr>
        <w:spacing w:after="20" w:line="276" w:lineRule="auto"/>
        <w:ind w:left="340"/>
        <w:jc w:val="left"/>
      </w:pPr>
      <w:r>
        <w:rPr>
          <w:rFonts w:ascii="Times New Roman" w:hAnsi="Times New Roman"/>
          <w:b w:val="0"/>
          <w:i w:val="0"/>
          <w:color w:val="000000"/>
          <w:sz w:val="24"/>
        </w:rPr>
        <w:t>(   ) Familiar ou vizinho</w:t>
      </w:r>
    </w:p>
    <w:p>
      <w:pPr>
        <w:spacing w:after="20" w:line="276" w:lineRule="auto"/>
        <w:ind w:left="340"/>
        <w:jc w:val="left"/>
      </w:pPr>
      <w:r>
        <w:rPr>
          <w:rFonts w:ascii="Times New Roman" w:hAnsi="Times New Roman"/>
          <w:b w:val="0"/>
          <w:i w:val="0"/>
          <w:color w:val="000000"/>
          <w:sz w:val="24"/>
        </w:rPr>
        <w:t>(   ) Farmácia ou ervanária</w:t>
      </w:r>
    </w:p>
    <w:p>
      <w:pPr>
        <w:spacing w:after="20" w:line="276" w:lineRule="auto"/>
        <w:ind w:left="340"/>
        <w:jc w:val="left"/>
      </w:pPr>
      <w:r>
        <w:rPr>
          <w:rFonts w:ascii="Times New Roman" w:hAnsi="Times New Roman"/>
          <w:b w:val="0"/>
          <w:i w:val="0"/>
          <w:color w:val="000000"/>
          <w:sz w:val="24"/>
        </w:rPr>
        <w:t>(   ) Outro</w:t>
      </w:r>
    </w:p>
    <w:p>
      <w:pPr>
        <w:keepNext/>
        <w:spacing w:after="80" w:line="276" w:lineRule="auto" w:before="80"/>
        <w:jc w:val="left"/>
      </w:pPr>
      <w:r>
        <w:rPr>
          <w:rFonts w:ascii="Times New Roman" w:hAnsi="Times New Roman"/>
          <w:b w:val="0"/>
          <w:i w:val="0"/>
          <w:color w:val="000000"/>
          <w:sz w:val="24"/>
        </w:rPr>
        <w:t>27. Quem lhe recomendou:</w:t>
      </w:r>
    </w:p>
    <w:p>
      <w:pPr>
        <w:spacing w:after="20" w:line="276" w:lineRule="auto"/>
        <w:ind w:left="340"/>
        <w:jc w:val="left"/>
      </w:pPr>
      <w:r>
        <w:rPr>
          <w:rFonts w:ascii="Times New Roman" w:hAnsi="Times New Roman"/>
          <w:b w:val="0"/>
          <w:i w:val="0"/>
          <w:color w:val="000000"/>
          <w:sz w:val="24"/>
        </w:rPr>
        <w:t>(   ) Família ou amigos</w:t>
      </w:r>
    </w:p>
    <w:p>
      <w:pPr>
        <w:spacing w:after="20" w:line="276" w:lineRule="auto"/>
        <w:ind w:left="340"/>
        <w:jc w:val="left"/>
      </w:pPr>
      <w:r>
        <w:rPr>
          <w:rFonts w:ascii="Times New Roman" w:hAnsi="Times New Roman"/>
          <w:b w:val="0"/>
          <w:i w:val="0"/>
          <w:color w:val="000000"/>
          <w:sz w:val="24"/>
        </w:rPr>
        <w:t>(   ) Praticante</w:t>
      </w:r>
    </w:p>
    <w:p>
      <w:pPr>
        <w:spacing w:after="20" w:line="276" w:lineRule="auto"/>
        <w:ind w:left="340"/>
        <w:jc w:val="left"/>
      </w:pPr>
      <w:r>
        <w:rPr>
          <w:rFonts w:ascii="Times New Roman" w:hAnsi="Times New Roman"/>
          <w:b w:val="0"/>
          <w:i w:val="0"/>
          <w:color w:val="000000"/>
          <w:sz w:val="24"/>
        </w:rPr>
        <w:t>(   ) Outro doente</w:t>
      </w:r>
    </w:p>
    <w:p>
      <w:pPr>
        <w:spacing w:after="20" w:line="276" w:lineRule="auto"/>
        <w:ind w:left="340"/>
        <w:jc w:val="left"/>
      </w:pPr>
      <w:r>
        <w:rPr>
          <w:rFonts w:ascii="Times New Roman" w:hAnsi="Times New Roman"/>
          <w:b w:val="0"/>
          <w:i w:val="0"/>
          <w:color w:val="000000"/>
          <w:sz w:val="24"/>
        </w:rPr>
        <w:t>(   ) Profissional de saúde</w:t>
      </w:r>
    </w:p>
    <w:p>
      <w:pPr>
        <w:spacing w:after="20" w:line="276" w:lineRule="auto"/>
        <w:ind w:left="340"/>
        <w:jc w:val="left"/>
      </w:pPr>
      <w:r>
        <w:rPr>
          <w:rFonts w:ascii="Times New Roman" w:hAnsi="Times New Roman"/>
          <w:b w:val="0"/>
          <w:i w:val="0"/>
          <w:color w:val="000000"/>
          <w:sz w:val="24"/>
        </w:rPr>
        <w:t>(   ) Rádio, televisão ou redes sociais</w:t>
      </w:r>
    </w:p>
    <w:p>
      <w:pPr>
        <w:spacing w:after="20" w:line="276" w:lineRule="auto"/>
        <w:ind w:left="340"/>
        <w:jc w:val="left"/>
      </w:pPr>
      <w:r>
        <w:rPr>
          <w:rFonts w:ascii="Times New Roman" w:hAnsi="Times New Roman"/>
          <w:b w:val="0"/>
          <w:i w:val="0"/>
          <w:color w:val="000000"/>
          <w:sz w:val="24"/>
        </w:rPr>
        <w:t>(   ) Ninguém (iniciativa própria)</w:t>
      </w:r>
    </w:p>
    <w:p>
      <w:pPr>
        <w:keepNext/>
        <w:spacing w:after="80" w:line="276" w:lineRule="auto" w:before="80"/>
        <w:jc w:val="left"/>
      </w:pPr>
      <w:r>
        <w:rPr>
          <w:rFonts w:ascii="Times New Roman" w:hAnsi="Times New Roman"/>
          <w:b w:val="0"/>
          <w:i w:val="0"/>
          <w:color w:val="000000"/>
          <w:sz w:val="24"/>
        </w:rPr>
        <w:t>28. Quanto gasta por mês com esta planta (meticais)? ______</w:t>
      </w:r>
    </w:p>
    <w:p>
      <w:pPr>
        <w:spacing w:after="80" w:line="276" w:lineRule="auto"/>
        <w:jc w:val="left"/>
      </w:pPr>
      <w:r>
        <w:rPr>
          <w:rFonts w:ascii="Times New Roman" w:hAnsi="Times New Roman"/>
          <w:b w:val="0"/>
          <w:i w:val="0"/>
          <w:color w:val="000000"/>
          <w:sz w:val="24"/>
        </w:rPr>
        <w:t>______________________________________________________________</w:t>
      </w:r>
    </w:p>
    <w:p>
      <w:pPr>
        <w:keepNext/>
        <w:spacing w:after="80" w:line="276" w:lineRule="auto" w:before="80"/>
        <w:jc w:val="left"/>
      </w:pPr>
      <w:r>
        <w:rPr>
          <w:rFonts w:ascii="Times New Roman" w:hAnsi="Times New Roman"/>
          <w:b w:val="0"/>
          <w:i w:val="0"/>
          <w:color w:val="000000"/>
          <w:sz w:val="24"/>
        </w:rPr>
        <w:t>29. Toma a planta à mesma hora dos anti-hipertensores?</w:t>
      </w:r>
    </w:p>
    <w:p>
      <w:pPr>
        <w:spacing w:after="80" w:line="276" w:lineRule="auto"/>
        <w:ind w:left="340"/>
        <w:jc w:val="left"/>
      </w:pPr>
      <w:r>
        <w:rPr>
          <w:rFonts w:ascii="Times New Roman" w:hAnsi="Times New Roman"/>
          <w:b w:val="0"/>
          <w:i w:val="0"/>
          <w:color w:val="000000"/>
          <w:sz w:val="24"/>
        </w:rPr>
        <w:t>(   ) Sim     (   ) Não     (   ) Às vezes</w:t>
      </w:r>
    </w:p>
    <w:p>
      <w:pPr>
        <w:keepNext/>
        <w:spacing w:after="80" w:line="276" w:lineRule="auto" w:before="80"/>
        <w:jc w:val="left"/>
      </w:pPr>
      <w:r>
        <w:rPr>
          <w:rFonts w:ascii="Times New Roman" w:hAnsi="Times New Roman"/>
          <w:b w:val="0"/>
          <w:i w:val="0"/>
          <w:color w:val="000000"/>
          <w:sz w:val="24"/>
        </w:rPr>
        <w:t>30. Tem o produto consigo, ou pode trazê-lo na próxima visita para ser fotografado?</w:t>
      </w:r>
    </w:p>
    <w:p>
      <w:pPr>
        <w:spacing w:after="80" w:line="276" w:lineRule="auto"/>
        <w:ind w:left="340"/>
        <w:jc w:val="left"/>
      </w:pPr>
      <w:r>
        <w:rPr>
          <w:rFonts w:ascii="Times New Roman" w:hAnsi="Times New Roman"/>
          <w:b w:val="0"/>
          <w:i w:val="0"/>
          <w:color w:val="000000"/>
          <w:sz w:val="24"/>
        </w:rPr>
        <w:t>(   ) Tem consigo     (   ) Pode trazer     (   ) Não</w:t>
      </w:r>
    </w:p>
    <w:p>
      <w:pPr>
        <w:keepNext/>
        <w:spacing w:before="200" w:after="80" w:line="276" w:lineRule="auto"/>
        <w:jc w:val="left"/>
      </w:pPr>
      <w:r>
        <w:rPr>
          <w:rFonts w:ascii="Times New Roman" w:hAnsi="Times New Roman"/>
          <w:b/>
          <w:i w:val="0"/>
          <w:color w:val="000000"/>
          <w:sz w:val="24"/>
        </w:rPr>
        <w:t>Secção VI. Comunicação com os profissionais de saúde</w:t>
      </w:r>
    </w:p>
    <w:p>
      <w:pPr>
        <w:keepNext/>
        <w:spacing w:after="80" w:line="276" w:lineRule="auto" w:before="80"/>
        <w:jc w:val="left"/>
      </w:pPr>
      <w:r>
        <w:rPr>
          <w:rFonts w:ascii="Times New Roman" w:hAnsi="Times New Roman"/>
          <w:b w:val="0"/>
          <w:i w:val="0"/>
          <w:color w:val="000000"/>
          <w:sz w:val="24"/>
        </w:rPr>
        <w:t>31. Nos últimos 12 meses, algum profissional de saúde lhe perguntou se usava plantas ou remédios tradicionais?</w:t>
      </w:r>
    </w:p>
    <w:p>
      <w:pPr>
        <w:spacing w:after="80" w:line="276" w:lineRule="auto"/>
        <w:ind w:left="340"/>
        <w:jc w:val="left"/>
      </w:pPr>
      <w:r>
        <w:rPr>
          <w:rFonts w:ascii="Times New Roman" w:hAnsi="Times New Roman"/>
          <w:b w:val="0"/>
          <w:i w:val="0"/>
          <w:color w:val="000000"/>
          <w:sz w:val="24"/>
        </w:rPr>
        <w:t>(   ) Sim     (   ) Não     (   ) Não se lembra</w:t>
      </w:r>
    </w:p>
    <w:p>
      <w:pPr>
        <w:keepNext/>
        <w:spacing w:after="80" w:line="276" w:lineRule="auto" w:before="80"/>
        <w:jc w:val="left"/>
      </w:pPr>
      <w:r>
        <w:rPr>
          <w:rFonts w:ascii="Times New Roman" w:hAnsi="Times New Roman"/>
          <w:b w:val="0"/>
          <w:i w:val="0"/>
          <w:color w:val="000000"/>
          <w:sz w:val="24"/>
        </w:rPr>
        <w:t>32. Se sim, quem perguntou (pode marcar mais de um):</w:t>
      </w:r>
    </w:p>
    <w:p>
      <w:pPr>
        <w:spacing w:after="20" w:line="276" w:lineRule="auto"/>
        <w:ind w:left="340"/>
        <w:jc w:val="left"/>
      </w:pPr>
      <w:r>
        <w:rPr>
          <w:rFonts w:ascii="Times New Roman" w:hAnsi="Times New Roman"/>
          <w:b w:val="0"/>
          <w:i w:val="0"/>
          <w:color w:val="000000"/>
          <w:sz w:val="24"/>
        </w:rPr>
        <w:t>(   ) Clínico ou médico</w:t>
      </w:r>
    </w:p>
    <w:p>
      <w:pPr>
        <w:spacing w:after="20" w:line="276" w:lineRule="auto"/>
        <w:ind w:left="340"/>
        <w:jc w:val="left"/>
      </w:pPr>
      <w:r>
        <w:rPr>
          <w:rFonts w:ascii="Times New Roman" w:hAnsi="Times New Roman"/>
          <w:b w:val="0"/>
          <w:i w:val="0"/>
          <w:color w:val="000000"/>
          <w:sz w:val="24"/>
        </w:rPr>
        <w:t>(   ) Enfermeiro</w:t>
      </w:r>
    </w:p>
    <w:p>
      <w:pPr>
        <w:spacing w:after="20" w:line="276" w:lineRule="auto"/>
        <w:ind w:left="340"/>
        <w:jc w:val="left"/>
      </w:pPr>
      <w:r>
        <w:rPr>
          <w:rFonts w:ascii="Times New Roman" w:hAnsi="Times New Roman"/>
          <w:b w:val="0"/>
          <w:i w:val="0"/>
          <w:color w:val="000000"/>
          <w:sz w:val="24"/>
        </w:rPr>
        <w:t>(   ) Farmacêutico ou técnico de farmácia</w:t>
      </w:r>
    </w:p>
    <w:p>
      <w:pPr>
        <w:spacing w:after="20" w:line="276" w:lineRule="auto"/>
        <w:ind w:left="340"/>
        <w:jc w:val="left"/>
      </w:pPr>
      <w:r>
        <w:rPr>
          <w:rFonts w:ascii="Times New Roman" w:hAnsi="Times New Roman"/>
          <w:b w:val="0"/>
          <w:i w:val="0"/>
          <w:color w:val="000000"/>
          <w:sz w:val="24"/>
        </w:rPr>
        <w:t>(   ) Outro</w:t>
      </w:r>
    </w:p>
    <w:p>
      <w:pPr>
        <w:spacing w:before="40" w:after="160" w:line="240" w:lineRule="auto"/>
        <w:jc w:val="both"/>
      </w:pPr>
      <w:r>
        <w:rPr>
          <w:rFonts w:ascii="Times New Roman" w:hAnsi="Times New Roman"/>
          <w:b w:val="0"/>
          <w:i w:val="0"/>
          <w:color w:val="000000"/>
          <w:sz w:val="20"/>
        </w:rPr>
        <w:t>As perguntas seguintes aplicam-se só a quem usou plantas nos últimos 12 meses.</w:t>
      </w:r>
    </w:p>
    <w:p>
      <w:pPr>
        <w:keepNext/>
        <w:spacing w:after="80" w:line="276" w:lineRule="auto" w:before="80"/>
        <w:jc w:val="left"/>
      </w:pPr>
      <w:r>
        <w:rPr>
          <w:rFonts w:ascii="Times New Roman" w:hAnsi="Times New Roman"/>
          <w:b w:val="0"/>
          <w:i w:val="0"/>
          <w:color w:val="000000"/>
          <w:sz w:val="24"/>
        </w:rPr>
        <w:t>33. Nos últimos 12 meses, contou a algum profissional de saúde que usa plantas?</w:t>
      </w:r>
    </w:p>
    <w:p>
      <w:pPr>
        <w:spacing w:after="80" w:line="276" w:lineRule="auto"/>
        <w:ind w:left="340"/>
        <w:jc w:val="left"/>
      </w:pPr>
      <w:r>
        <w:rPr>
          <w:rFonts w:ascii="Times New Roman" w:hAnsi="Times New Roman"/>
          <w:b w:val="0"/>
          <w:i w:val="0"/>
          <w:color w:val="000000"/>
          <w:sz w:val="24"/>
        </w:rPr>
        <w:t>(   ) Sim, por iniciativa própria     (   ) Sim, porque lhe perguntaram     (   ) Não</w:t>
      </w:r>
    </w:p>
    <w:p>
      <w:pPr>
        <w:keepNext/>
        <w:spacing w:after="80" w:line="276" w:lineRule="auto" w:before="80"/>
        <w:jc w:val="left"/>
      </w:pPr>
      <w:r>
        <w:rPr>
          <w:rFonts w:ascii="Times New Roman" w:hAnsi="Times New Roman"/>
          <w:b w:val="0"/>
          <w:i w:val="0"/>
          <w:color w:val="000000"/>
          <w:sz w:val="24"/>
        </w:rPr>
        <w:t>34. Se contou, a quem:</w:t>
      </w:r>
    </w:p>
    <w:p>
      <w:pPr>
        <w:spacing w:after="20" w:line="276" w:lineRule="auto"/>
        <w:ind w:left="340"/>
        <w:jc w:val="left"/>
      </w:pPr>
      <w:r>
        <w:rPr>
          <w:rFonts w:ascii="Times New Roman" w:hAnsi="Times New Roman"/>
          <w:b w:val="0"/>
          <w:i w:val="0"/>
          <w:color w:val="000000"/>
          <w:sz w:val="24"/>
        </w:rPr>
        <w:t>(   ) Clínico ou médico</w:t>
      </w:r>
    </w:p>
    <w:p>
      <w:pPr>
        <w:spacing w:after="20" w:line="276" w:lineRule="auto"/>
        <w:ind w:left="340"/>
        <w:jc w:val="left"/>
      </w:pPr>
      <w:r>
        <w:rPr>
          <w:rFonts w:ascii="Times New Roman" w:hAnsi="Times New Roman"/>
          <w:b w:val="0"/>
          <w:i w:val="0"/>
          <w:color w:val="000000"/>
          <w:sz w:val="24"/>
        </w:rPr>
        <w:t>(   ) Enfermeiro</w:t>
      </w:r>
    </w:p>
    <w:p>
      <w:pPr>
        <w:spacing w:after="20" w:line="276" w:lineRule="auto"/>
        <w:ind w:left="340"/>
        <w:jc w:val="left"/>
      </w:pPr>
      <w:r>
        <w:rPr>
          <w:rFonts w:ascii="Times New Roman" w:hAnsi="Times New Roman"/>
          <w:b w:val="0"/>
          <w:i w:val="0"/>
          <w:color w:val="000000"/>
          <w:sz w:val="24"/>
        </w:rPr>
        <w:t>(   ) Farmacêutico ou técnico de farmácia</w:t>
      </w:r>
    </w:p>
    <w:p>
      <w:pPr>
        <w:spacing w:after="20" w:line="276" w:lineRule="auto"/>
        <w:ind w:left="340"/>
        <w:jc w:val="left"/>
      </w:pPr>
      <w:r>
        <w:rPr>
          <w:rFonts w:ascii="Times New Roman" w:hAnsi="Times New Roman"/>
          <w:b w:val="0"/>
          <w:i w:val="0"/>
          <w:color w:val="000000"/>
          <w:sz w:val="24"/>
        </w:rPr>
        <w:t>(   ) Outro</w:t>
      </w:r>
    </w:p>
    <w:p>
      <w:pPr>
        <w:keepNext/>
        <w:spacing w:after="80" w:line="276" w:lineRule="auto" w:before="80"/>
        <w:jc w:val="left"/>
      </w:pPr>
      <w:r>
        <w:rPr>
          <w:rFonts w:ascii="Times New Roman" w:hAnsi="Times New Roman"/>
          <w:b w:val="0"/>
          <w:i w:val="0"/>
          <w:color w:val="000000"/>
          <w:sz w:val="24"/>
        </w:rPr>
        <w:t>35. Se contou, o que fez o profissional:</w:t>
      </w:r>
    </w:p>
    <w:p>
      <w:pPr>
        <w:spacing w:after="20" w:line="276" w:lineRule="auto"/>
        <w:ind w:left="340"/>
        <w:jc w:val="left"/>
      </w:pPr>
      <w:r>
        <w:rPr>
          <w:rFonts w:ascii="Times New Roman" w:hAnsi="Times New Roman"/>
          <w:b w:val="0"/>
          <w:i w:val="0"/>
          <w:color w:val="000000"/>
          <w:sz w:val="24"/>
        </w:rPr>
        <w:t>(   ) Aconselhou a continuar</w:t>
      </w:r>
    </w:p>
    <w:p>
      <w:pPr>
        <w:spacing w:after="20" w:line="276" w:lineRule="auto"/>
        <w:ind w:left="340"/>
        <w:jc w:val="left"/>
      </w:pPr>
      <w:r>
        <w:rPr>
          <w:rFonts w:ascii="Times New Roman" w:hAnsi="Times New Roman"/>
          <w:b w:val="0"/>
          <w:i w:val="0"/>
          <w:color w:val="000000"/>
          <w:sz w:val="24"/>
        </w:rPr>
        <w:t>(   ) Aconselhou a parar</w:t>
      </w:r>
    </w:p>
    <w:p>
      <w:pPr>
        <w:spacing w:after="20" w:line="276" w:lineRule="auto"/>
        <w:ind w:left="340"/>
        <w:jc w:val="left"/>
      </w:pPr>
      <w:r>
        <w:rPr>
          <w:rFonts w:ascii="Times New Roman" w:hAnsi="Times New Roman"/>
          <w:b w:val="0"/>
          <w:i w:val="0"/>
          <w:color w:val="000000"/>
          <w:sz w:val="24"/>
        </w:rPr>
        <w:t>(   ) Não disse nada</w:t>
      </w:r>
    </w:p>
    <w:p>
      <w:pPr>
        <w:spacing w:after="20" w:line="276" w:lineRule="auto"/>
        <w:ind w:left="340"/>
        <w:jc w:val="left"/>
      </w:pPr>
      <w:r>
        <w:rPr>
          <w:rFonts w:ascii="Times New Roman" w:hAnsi="Times New Roman"/>
          <w:b w:val="0"/>
          <w:i w:val="0"/>
          <w:color w:val="000000"/>
          <w:sz w:val="24"/>
        </w:rPr>
        <w:t>(   ) Criticou</w:t>
      </w:r>
    </w:p>
    <w:p>
      <w:pPr>
        <w:spacing w:after="20" w:line="276" w:lineRule="auto"/>
        <w:ind w:left="340"/>
        <w:jc w:val="left"/>
      </w:pPr>
      <w:r>
        <w:rPr>
          <w:rFonts w:ascii="Times New Roman" w:hAnsi="Times New Roman"/>
          <w:b w:val="0"/>
          <w:i w:val="0"/>
          <w:color w:val="000000"/>
          <w:sz w:val="24"/>
        </w:rPr>
        <w:t>(   ) Outro</w:t>
      </w:r>
    </w:p>
    <w:p>
      <w:pPr>
        <w:keepNext/>
        <w:spacing w:after="80" w:line="276" w:lineRule="auto" w:before="80"/>
        <w:jc w:val="left"/>
      </w:pPr>
      <w:r>
        <w:rPr>
          <w:rFonts w:ascii="Times New Roman" w:hAnsi="Times New Roman"/>
          <w:b w:val="0"/>
          <w:i w:val="0"/>
          <w:color w:val="000000"/>
          <w:sz w:val="24"/>
        </w:rPr>
        <w:t>36. Se não contou, porquê? (pode marcar mais de uma)</w:t>
      </w:r>
    </w:p>
    <w:p>
      <w:pPr>
        <w:spacing w:after="20" w:line="276" w:lineRule="auto"/>
        <w:ind w:left="340"/>
        <w:jc w:val="left"/>
      </w:pPr>
      <w:r>
        <w:rPr>
          <w:rFonts w:ascii="Times New Roman" w:hAnsi="Times New Roman"/>
          <w:b w:val="0"/>
          <w:i w:val="0"/>
          <w:color w:val="000000"/>
          <w:sz w:val="24"/>
        </w:rPr>
        <w:t>(   ) Ninguém perguntou</w:t>
      </w:r>
    </w:p>
    <w:p>
      <w:pPr>
        <w:spacing w:after="20" w:line="276" w:lineRule="auto"/>
        <w:ind w:left="340"/>
        <w:jc w:val="left"/>
      </w:pPr>
      <w:r>
        <w:rPr>
          <w:rFonts w:ascii="Times New Roman" w:hAnsi="Times New Roman"/>
          <w:b w:val="0"/>
          <w:i w:val="0"/>
          <w:color w:val="000000"/>
          <w:sz w:val="24"/>
        </w:rPr>
        <w:t>(   ) Receio de ser criticado ou mal atendido</w:t>
      </w:r>
    </w:p>
    <w:p>
      <w:pPr>
        <w:spacing w:after="20" w:line="276" w:lineRule="auto"/>
        <w:ind w:left="340"/>
        <w:jc w:val="left"/>
      </w:pPr>
      <w:r>
        <w:rPr>
          <w:rFonts w:ascii="Times New Roman" w:hAnsi="Times New Roman"/>
          <w:b w:val="0"/>
          <w:i w:val="0"/>
          <w:color w:val="000000"/>
          <w:sz w:val="24"/>
        </w:rPr>
        <w:t>(   ) Achou que não era importante</w:t>
      </w:r>
    </w:p>
    <w:p>
      <w:pPr>
        <w:spacing w:after="20" w:line="276" w:lineRule="auto"/>
        <w:ind w:left="340"/>
        <w:jc w:val="left"/>
      </w:pPr>
      <w:r>
        <w:rPr>
          <w:rFonts w:ascii="Times New Roman" w:hAnsi="Times New Roman"/>
          <w:b w:val="0"/>
          <w:i w:val="0"/>
          <w:color w:val="000000"/>
          <w:sz w:val="24"/>
        </w:rPr>
        <w:t>(   ) Acha que o profissional não conhece plantas</w:t>
      </w:r>
    </w:p>
    <w:p>
      <w:pPr>
        <w:spacing w:after="20" w:line="276" w:lineRule="auto"/>
        <w:ind w:left="340"/>
        <w:jc w:val="left"/>
      </w:pPr>
      <w:r>
        <w:rPr>
          <w:rFonts w:ascii="Times New Roman" w:hAnsi="Times New Roman"/>
          <w:b w:val="0"/>
          <w:i w:val="0"/>
          <w:color w:val="000000"/>
          <w:sz w:val="24"/>
        </w:rPr>
        <w:t>(   ) Não houve tempo na consulta</w:t>
      </w:r>
    </w:p>
    <w:p>
      <w:pPr>
        <w:spacing w:after="20" w:line="276" w:lineRule="auto"/>
        <w:ind w:left="340"/>
        <w:jc w:val="left"/>
      </w:pPr>
      <w:r>
        <w:rPr>
          <w:rFonts w:ascii="Times New Roman" w:hAnsi="Times New Roman"/>
          <w:b w:val="0"/>
          <w:i w:val="0"/>
          <w:color w:val="000000"/>
          <w:sz w:val="24"/>
        </w:rPr>
        <w:t>(   ) Acha que as plantas são seguras</w:t>
      </w:r>
    </w:p>
    <w:p>
      <w:pPr>
        <w:spacing w:after="20" w:line="276" w:lineRule="auto"/>
        <w:ind w:left="340"/>
        <w:jc w:val="left"/>
      </w:pPr>
      <w:r>
        <w:rPr>
          <w:rFonts w:ascii="Times New Roman" w:hAnsi="Times New Roman"/>
          <w:b w:val="0"/>
          <w:i w:val="0"/>
          <w:color w:val="000000"/>
          <w:sz w:val="24"/>
        </w:rPr>
        <w:t>(   ) O praticante disse para não contar</w:t>
      </w:r>
    </w:p>
    <w:p>
      <w:pPr>
        <w:spacing w:after="20" w:line="276" w:lineRule="auto"/>
        <w:ind w:left="340"/>
        <w:jc w:val="left"/>
      </w:pPr>
      <w:r>
        <w:rPr>
          <w:rFonts w:ascii="Times New Roman" w:hAnsi="Times New Roman"/>
          <w:b w:val="0"/>
          <w:i w:val="0"/>
          <w:color w:val="000000"/>
          <w:sz w:val="24"/>
        </w:rPr>
        <w:t>(   ) Outra</w:t>
      </w:r>
    </w:p>
    <w:p>
      <w:pPr>
        <w:keepNext/>
        <w:spacing w:after="80" w:line="276" w:lineRule="auto" w:before="80"/>
        <w:jc w:val="left"/>
      </w:pPr>
      <w:r>
        <w:rPr>
          <w:rFonts w:ascii="Times New Roman" w:hAnsi="Times New Roman"/>
          <w:b w:val="0"/>
          <w:i w:val="0"/>
          <w:color w:val="000000"/>
          <w:sz w:val="24"/>
        </w:rPr>
        <w:t>37. (Todos os participantes) Acha que tomar plantas junto com os anti-hipertensores pode fazer mal?</w:t>
      </w:r>
    </w:p>
    <w:p>
      <w:pPr>
        <w:spacing w:after="80" w:line="276" w:lineRule="auto"/>
        <w:ind w:left="340"/>
        <w:jc w:val="left"/>
      </w:pPr>
      <w:r>
        <w:rPr>
          <w:rFonts w:ascii="Times New Roman" w:hAnsi="Times New Roman"/>
          <w:b w:val="0"/>
          <w:i w:val="0"/>
          <w:color w:val="000000"/>
          <w:sz w:val="24"/>
        </w:rPr>
        <w:t>(   ) Sim     (   ) Não     (   ) Não sabe</w:t>
      </w:r>
    </w:p>
    <w:p>
      <w:pPr>
        <w:keepNext/>
        <w:spacing w:before="200" w:after="80" w:line="276" w:lineRule="auto"/>
        <w:jc w:val="left"/>
      </w:pPr>
      <w:r>
        <w:rPr>
          <w:rFonts w:ascii="Times New Roman" w:hAnsi="Times New Roman"/>
          <w:b/>
          <w:i w:val="0"/>
          <w:color w:val="000000"/>
          <w:sz w:val="24"/>
        </w:rPr>
        <w:t>Secção VII. Alterações do tratamento anti-hipertensor</w:t>
      </w:r>
    </w:p>
    <w:p>
      <w:pPr>
        <w:spacing w:before="40" w:after="160" w:line="240" w:lineRule="auto"/>
        <w:jc w:val="both"/>
      </w:pPr>
      <w:r>
        <w:rPr>
          <w:rFonts w:ascii="Times New Roman" w:hAnsi="Times New Roman"/>
          <w:b w:val="0"/>
          <w:i w:val="0"/>
          <w:color w:val="000000"/>
          <w:sz w:val="20"/>
        </w:rPr>
        <w:t>Só para quem usou plantas nos últimos 12 meses; os restantes passam à Secção VIII.</w:t>
      </w:r>
    </w:p>
    <w:p>
      <w:pPr>
        <w:keepNext/>
        <w:spacing w:after="80" w:line="276" w:lineRule="auto" w:before="80"/>
        <w:jc w:val="left"/>
      </w:pPr>
      <w:r>
        <w:rPr>
          <w:rFonts w:ascii="Times New Roman" w:hAnsi="Times New Roman"/>
          <w:b w:val="0"/>
          <w:i w:val="0"/>
          <w:color w:val="000000"/>
          <w:sz w:val="24"/>
        </w:rPr>
        <w:t>38. Nos últimos 12 meses, deixou de tomar ou reduziu algum anti-hipertensor por estar a usar plantas?</w:t>
      </w:r>
    </w:p>
    <w:p>
      <w:pPr>
        <w:spacing w:after="80" w:line="276" w:lineRule="auto"/>
        <w:ind w:left="340"/>
        <w:jc w:val="left"/>
      </w:pPr>
      <w:r>
        <w:rPr>
          <w:rFonts w:ascii="Times New Roman" w:hAnsi="Times New Roman"/>
          <w:b w:val="0"/>
          <w:i w:val="0"/>
          <w:color w:val="000000"/>
          <w:sz w:val="24"/>
        </w:rPr>
        <w:t>(   ) Sim (qual e durante quanto tempo?) __________     (   ) Não</w:t>
      </w:r>
    </w:p>
    <w:p>
      <w:pPr>
        <w:keepNext/>
        <w:spacing w:after="80" w:line="276" w:lineRule="auto" w:before="80"/>
        <w:jc w:val="left"/>
      </w:pPr>
      <w:r>
        <w:rPr>
          <w:rFonts w:ascii="Times New Roman" w:hAnsi="Times New Roman"/>
          <w:b w:val="0"/>
          <w:i w:val="0"/>
          <w:color w:val="000000"/>
          <w:sz w:val="24"/>
        </w:rPr>
        <w:t>39. Teve algum problema de saúde que atribui a tomar plantas com os anti-hipertensores?</w:t>
      </w:r>
    </w:p>
    <w:p>
      <w:pPr>
        <w:spacing w:after="80" w:line="276" w:lineRule="auto"/>
        <w:ind w:left="340"/>
        <w:jc w:val="left"/>
      </w:pPr>
      <w:r>
        <w:rPr>
          <w:rFonts w:ascii="Times New Roman" w:hAnsi="Times New Roman"/>
          <w:b w:val="0"/>
          <w:i w:val="0"/>
          <w:color w:val="000000"/>
          <w:sz w:val="24"/>
        </w:rPr>
        <w:t>(   ) Sim (qual?) __________     (   ) Não</w:t>
      </w:r>
    </w:p>
    <w:p>
      <w:pPr>
        <w:spacing w:before="40" w:after="160" w:line="240" w:lineRule="auto"/>
        <w:jc w:val="both"/>
      </w:pPr>
      <w:r>
        <w:rPr>
          <w:rFonts w:ascii="Times New Roman" w:hAnsi="Times New Roman"/>
          <w:b w:val="0"/>
          <w:i w:val="0"/>
          <w:color w:val="000000"/>
          <w:sz w:val="20"/>
        </w:rPr>
        <w:t>Se o participante reduziu ou suspendeu o anti-hipertensor, ou usa uma combinação que conste da lista de referência como interacção demonstrada em humanos, aplicar o protocolo de referenciação: aconselhar a não suspender e a informar o clínico assistente e, com o acordo do doente, encaminhar no mesmo dia com nota escrita.</w:t>
      </w:r>
    </w:p>
    <w:p>
      <w:pPr>
        <w:keepNext/>
        <w:spacing w:before="200" w:after="80" w:line="276" w:lineRule="auto"/>
        <w:jc w:val="left"/>
      </w:pPr>
      <w:r>
        <w:rPr>
          <w:rFonts w:ascii="Times New Roman" w:hAnsi="Times New Roman"/>
          <w:b/>
          <w:i w:val="0"/>
          <w:color w:val="000000"/>
          <w:sz w:val="24"/>
        </w:rPr>
        <w:t>Secção VIII. Verificação do processo clínico (entrevistador)</w:t>
      </w:r>
    </w:p>
    <w:p>
      <w:pPr>
        <w:spacing w:after="80" w:line="276" w:lineRule="auto"/>
        <w:jc w:val="left"/>
      </w:pPr>
      <w:r>
        <w:rPr>
          <w:rFonts w:ascii="Times New Roman" w:hAnsi="Times New Roman"/>
          <w:b w:val="0"/>
          <w:i w:val="0"/>
          <w:color w:val="000000"/>
          <w:sz w:val="24"/>
        </w:rPr>
        <w:t>Diagnóstico de admissão: ______________   Gravidade (sem/com complicação): ______________   Data do diagnóstico de hipertensão: ___/______   Comorbilidades registadas: ______________</w:t>
      </w:r>
    </w:p>
    <w:p>
      <w:pPr>
        <w:spacing w:after="80" w:line="276" w:lineRule="auto"/>
        <w:jc w:val="left"/>
      </w:pPr>
      <w:r>
        <w:rPr>
          <w:rFonts w:ascii="Times New Roman" w:hAnsi="Times New Roman"/>
          <w:b w:val="0"/>
          <w:i w:val="0"/>
          <w:color w:val="000000"/>
          <w:sz w:val="24"/>
        </w:rPr>
        <w:t>Anti-hipertensores prescritos (nome, dose, frequência): 1. ______________ 2. ______________ 3. ______________ 4. ______________ 5. ______________</w:t>
      </w:r>
    </w:p>
    <w:p>
      <w:pPr>
        <w:keepNext/>
        <w:spacing w:after="80" w:line="276" w:lineRule="auto" w:before="80"/>
        <w:jc w:val="left"/>
      </w:pPr>
      <w:r>
        <w:rPr>
          <w:rFonts w:ascii="Times New Roman" w:hAnsi="Times New Roman"/>
          <w:b w:val="0"/>
          <w:i w:val="0"/>
          <w:color w:val="000000"/>
          <w:sz w:val="24"/>
        </w:rPr>
        <w:t>40. Existe menção ao uso de medicina tradicional no processo?</w:t>
      </w:r>
    </w:p>
    <w:p>
      <w:pPr>
        <w:spacing w:after="80" w:line="276" w:lineRule="auto"/>
        <w:ind w:left="340"/>
        <w:jc w:val="left"/>
      </w:pPr>
      <w:r>
        <w:rPr>
          <w:rFonts w:ascii="Times New Roman" w:hAnsi="Times New Roman"/>
          <w:b w:val="0"/>
          <w:i w:val="0"/>
          <w:color w:val="000000"/>
          <w:sz w:val="24"/>
        </w:rPr>
        <w:t>(   ) Sim     (   ) Não</w:t>
      </w:r>
    </w:p>
    <w:p>
      <w:pPr>
        <w:keepNext/>
        <w:spacing w:after="80" w:line="276" w:lineRule="auto" w:before="80"/>
        <w:jc w:val="left"/>
      </w:pPr>
      <w:r>
        <w:rPr>
          <w:rFonts w:ascii="Times New Roman" w:hAnsi="Times New Roman"/>
          <w:b w:val="0"/>
          <w:i w:val="0"/>
          <w:color w:val="000000"/>
          <w:sz w:val="24"/>
        </w:rPr>
        <w:t>41. Encaminhamento ao clínico assistente feito hoje?</w:t>
      </w:r>
    </w:p>
    <w:p>
      <w:pPr>
        <w:spacing w:after="80" w:line="276" w:lineRule="auto"/>
        <w:ind w:left="340"/>
        <w:jc w:val="left"/>
      </w:pPr>
      <w:r>
        <w:rPr>
          <w:rFonts w:ascii="Times New Roman" w:hAnsi="Times New Roman"/>
          <w:b w:val="0"/>
          <w:i w:val="0"/>
          <w:color w:val="000000"/>
          <w:sz w:val="24"/>
        </w:rPr>
        <w:t>(   ) Sim (motivo) __________     (   ) Não</w:t>
      </w:r>
    </w:p>
    <w:p>
      <w:pPr>
        <w:pStyle w:val="Heading2"/>
        <w:pageBreakBefore/>
      </w:pPr>
      <w:r>
        <w:rPr>
          <w:rFonts w:ascii="Times New Roman" w:hAnsi="Times New Roman"/>
          <w:b/>
          <w:i w:val="0"/>
          <w:color w:val="000000"/>
          <w:sz w:val="24"/>
        </w:rPr>
        <w:t>Apêndice B. Fichas de identificação botânica e de classificação do potencial de interacção</w:t>
      </w:r>
    </w:p>
    <w:p>
      <w:pPr>
        <w:keepNext/>
        <w:spacing w:before="200" w:after="80" w:line="276" w:lineRule="auto"/>
        <w:jc w:val="left"/>
      </w:pPr>
      <w:r>
        <w:rPr>
          <w:rFonts w:ascii="Times New Roman" w:hAnsi="Times New Roman"/>
          <w:b/>
          <w:i w:val="0"/>
          <w:color w:val="000000"/>
          <w:sz w:val="24"/>
        </w:rPr>
        <w:t>Parte 1. Ficha de identificação botânica (uma por exemplar)</w:t>
      </w:r>
    </w:p>
    <w:p>
      <w:pPr>
        <w:spacing w:after="80" w:line="276" w:lineRule="auto"/>
        <w:jc w:val="left"/>
      </w:pPr>
      <w:r>
        <w:rPr>
          <w:rFonts w:ascii="Times New Roman" w:hAnsi="Times New Roman"/>
          <w:b w:val="0"/>
          <w:i w:val="0"/>
          <w:color w:val="000000"/>
          <w:sz w:val="24"/>
        </w:rPr>
        <w:t>N.º de colheita: ______   Data: ___/___/2027   Colector: ______________</w:t>
      </w:r>
    </w:p>
    <w:p>
      <w:pPr>
        <w:spacing w:after="80" w:line="276" w:lineRule="auto"/>
        <w:jc w:val="left"/>
      </w:pPr>
      <w:r>
        <w:rPr>
          <w:rFonts w:ascii="Times New Roman" w:hAnsi="Times New Roman"/>
          <w:b w:val="0"/>
          <w:i w:val="0"/>
          <w:color w:val="000000"/>
          <w:sz w:val="24"/>
        </w:rPr>
        <w:t>Nome vernáculo em emakhuwa: ______________   Em português: ______________</w:t>
      </w:r>
    </w:p>
    <w:p>
      <w:pPr>
        <w:keepNext/>
        <w:spacing w:after="80" w:line="276" w:lineRule="auto" w:before="80"/>
        <w:jc w:val="left"/>
      </w:pPr>
      <w:r>
        <w:rPr>
          <w:rFonts w:ascii="Times New Roman" w:hAnsi="Times New Roman"/>
          <w:b w:val="0"/>
          <w:i w:val="0"/>
          <w:color w:val="000000"/>
          <w:sz w:val="24"/>
        </w:rPr>
        <w:t>1. Origem do exemplar:</w:t>
      </w:r>
    </w:p>
    <w:p>
      <w:pPr>
        <w:spacing w:after="20" w:line="276" w:lineRule="auto"/>
        <w:ind w:left="340"/>
        <w:jc w:val="left"/>
      </w:pPr>
      <w:r>
        <w:rPr>
          <w:rFonts w:ascii="Times New Roman" w:hAnsi="Times New Roman"/>
          <w:b w:val="0"/>
          <w:i w:val="0"/>
          <w:color w:val="000000"/>
          <w:sz w:val="24"/>
        </w:rPr>
        <w:t>(   ) Mercado (vendedor)</w:t>
      </w:r>
    </w:p>
    <w:p>
      <w:pPr>
        <w:spacing w:after="20" w:line="276" w:lineRule="auto"/>
        <w:ind w:left="340"/>
        <w:jc w:val="left"/>
      </w:pPr>
      <w:r>
        <w:rPr>
          <w:rFonts w:ascii="Times New Roman" w:hAnsi="Times New Roman"/>
          <w:b w:val="0"/>
          <w:i w:val="0"/>
          <w:color w:val="000000"/>
          <w:sz w:val="24"/>
        </w:rPr>
        <w:t>(   ) Cultivo de participante</w:t>
      </w:r>
    </w:p>
    <w:p>
      <w:pPr>
        <w:spacing w:after="20" w:line="276" w:lineRule="auto"/>
        <w:ind w:left="340"/>
        <w:jc w:val="left"/>
      </w:pPr>
      <w:r>
        <w:rPr>
          <w:rFonts w:ascii="Times New Roman" w:hAnsi="Times New Roman"/>
          <w:b w:val="0"/>
          <w:i w:val="0"/>
          <w:color w:val="000000"/>
          <w:sz w:val="24"/>
        </w:rPr>
        <w:t>(   ) Praticante de medicina tradicional</w:t>
      </w:r>
    </w:p>
    <w:p>
      <w:pPr>
        <w:spacing w:after="20" w:line="276" w:lineRule="auto"/>
        <w:ind w:left="340"/>
        <w:jc w:val="left"/>
      </w:pPr>
      <w:r>
        <w:rPr>
          <w:rFonts w:ascii="Times New Roman" w:hAnsi="Times New Roman"/>
          <w:b w:val="0"/>
          <w:i w:val="0"/>
          <w:color w:val="000000"/>
          <w:sz w:val="24"/>
        </w:rPr>
        <w:t>(   ) Outra</w:t>
      </w:r>
    </w:p>
    <w:p>
      <w:pPr>
        <w:spacing w:after="80" w:line="276" w:lineRule="auto"/>
        <w:jc w:val="left"/>
      </w:pPr>
      <w:r>
        <w:rPr>
          <w:rFonts w:ascii="Times New Roman" w:hAnsi="Times New Roman"/>
          <w:b w:val="0"/>
          <w:i w:val="0"/>
          <w:color w:val="000000"/>
          <w:sz w:val="24"/>
        </w:rPr>
        <w:t>Local: ______________   Coordenadas: __________ / __________</w:t>
      </w:r>
    </w:p>
    <w:p>
      <w:pPr>
        <w:keepNext/>
        <w:spacing w:after="80" w:line="276" w:lineRule="auto" w:before="80"/>
        <w:jc w:val="left"/>
      </w:pPr>
      <w:r>
        <w:rPr>
          <w:rFonts w:ascii="Times New Roman" w:hAnsi="Times New Roman"/>
          <w:b w:val="0"/>
          <w:i w:val="0"/>
          <w:color w:val="000000"/>
          <w:sz w:val="24"/>
        </w:rPr>
        <w:t>2. Estado do material:</w:t>
      </w:r>
    </w:p>
    <w:p>
      <w:pPr>
        <w:spacing w:after="80" w:line="276" w:lineRule="auto"/>
        <w:ind w:left="340"/>
        <w:jc w:val="left"/>
      </w:pPr>
      <w:r>
        <w:rPr>
          <w:rFonts w:ascii="Times New Roman" w:hAnsi="Times New Roman"/>
          <w:b w:val="0"/>
          <w:i w:val="0"/>
          <w:color w:val="000000"/>
          <w:sz w:val="24"/>
        </w:rPr>
        <w:t>(   ) Fértil (flor ou fruto)     (   ) Estéril     (   ) Produto seco ou fragmentado</w:t>
      </w:r>
    </w:p>
    <w:p>
      <w:pPr>
        <w:spacing w:after="80" w:line="276" w:lineRule="auto"/>
        <w:jc w:val="left"/>
      </w:pPr>
      <w:r>
        <w:rPr>
          <w:rFonts w:ascii="Times New Roman" w:hAnsi="Times New Roman"/>
          <w:b w:val="0"/>
          <w:i w:val="0"/>
          <w:color w:val="000000"/>
          <w:sz w:val="24"/>
        </w:rPr>
        <w:t>Números das fotografias: ______________</w:t>
      </w:r>
    </w:p>
    <w:p>
      <w:pPr>
        <w:spacing w:after="80" w:line="276" w:lineRule="auto"/>
        <w:jc w:val="left"/>
      </w:pPr>
      <w:r>
        <w:rPr>
          <w:rFonts w:ascii="Times New Roman" w:hAnsi="Times New Roman"/>
          <w:b w:val="0"/>
          <w:i w:val="0"/>
          <w:color w:val="000000"/>
          <w:sz w:val="24"/>
        </w:rPr>
        <w:t>Identificador 1, espécie proposta: ______________   Identificador 2, espécie proposta: ______________</w:t>
      </w:r>
    </w:p>
    <w:p>
      <w:pPr>
        <w:keepNext/>
        <w:spacing w:after="80" w:line="276" w:lineRule="auto" w:before="80"/>
        <w:jc w:val="left"/>
      </w:pPr>
      <w:r>
        <w:rPr>
          <w:rFonts w:ascii="Times New Roman" w:hAnsi="Times New Roman"/>
          <w:b w:val="0"/>
          <w:i w:val="0"/>
          <w:color w:val="000000"/>
          <w:sz w:val="24"/>
        </w:rPr>
        <w:t>3. Concordância entre identificadores:</w:t>
      </w:r>
    </w:p>
    <w:p>
      <w:pPr>
        <w:spacing w:after="80" w:line="276" w:lineRule="auto"/>
        <w:ind w:left="340"/>
        <w:jc w:val="left"/>
      </w:pPr>
      <w:r>
        <w:rPr>
          <w:rFonts w:ascii="Times New Roman" w:hAnsi="Times New Roman"/>
          <w:b w:val="0"/>
          <w:i w:val="0"/>
          <w:color w:val="000000"/>
          <w:sz w:val="24"/>
        </w:rPr>
        <w:t>(   ) Sim     (   ) Não (resolvido por consenso ou terceiro especialista)</w:t>
      </w:r>
    </w:p>
    <w:p>
      <w:pPr>
        <w:spacing w:after="80" w:line="276" w:lineRule="auto"/>
        <w:jc w:val="left"/>
      </w:pPr>
      <w:r>
        <w:rPr>
          <w:rFonts w:ascii="Times New Roman" w:hAnsi="Times New Roman"/>
          <w:b w:val="0"/>
          <w:i w:val="0"/>
          <w:color w:val="000000"/>
          <w:sz w:val="24"/>
        </w:rPr>
        <w:t>Nome aceite e autoridade: ______________   Família: ______________</w:t>
      </w:r>
    </w:p>
    <w:p>
      <w:pPr>
        <w:spacing w:after="80" w:line="276" w:lineRule="auto"/>
        <w:jc w:val="left"/>
      </w:pPr>
      <w:r>
        <w:rPr>
          <w:rFonts w:ascii="Times New Roman" w:hAnsi="Times New Roman"/>
          <w:b w:val="0"/>
          <w:i w:val="0"/>
          <w:color w:val="000000"/>
          <w:sz w:val="24"/>
        </w:rPr>
        <w:t>Fonte da nomenclatura e data de consulta: ______________   N.º de voucher e herbário: ______________</w:t>
      </w:r>
    </w:p>
    <w:p>
      <w:pPr>
        <w:keepNext/>
        <w:spacing w:after="80" w:line="276" w:lineRule="auto" w:before="80"/>
        <w:jc w:val="left"/>
      </w:pPr>
      <w:r>
        <w:rPr>
          <w:rFonts w:ascii="Times New Roman" w:hAnsi="Times New Roman"/>
          <w:b w:val="0"/>
          <w:i w:val="0"/>
          <w:color w:val="000000"/>
          <w:sz w:val="24"/>
        </w:rPr>
        <w:t>4. Nível de identificação:</w:t>
      </w:r>
    </w:p>
    <w:p>
      <w:pPr>
        <w:spacing w:after="20" w:line="276" w:lineRule="auto"/>
        <w:ind w:left="340"/>
        <w:jc w:val="left"/>
      </w:pPr>
      <w:r>
        <w:rPr>
          <w:rFonts w:ascii="Times New Roman" w:hAnsi="Times New Roman"/>
          <w:b w:val="0"/>
          <w:i w:val="0"/>
          <w:color w:val="000000"/>
          <w:sz w:val="24"/>
        </w:rPr>
        <w:t>(   ) 1. Exemplar com voucher</w:t>
      </w:r>
    </w:p>
    <w:p>
      <w:pPr>
        <w:spacing w:after="20" w:line="276" w:lineRule="auto"/>
        <w:ind w:left="340"/>
        <w:jc w:val="left"/>
      </w:pPr>
      <w:r>
        <w:rPr>
          <w:rFonts w:ascii="Times New Roman" w:hAnsi="Times New Roman"/>
          <w:b w:val="0"/>
          <w:i w:val="0"/>
          <w:color w:val="000000"/>
          <w:sz w:val="24"/>
        </w:rPr>
        <w:t>(   ) 2. Fotografia diagnóstica</w:t>
      </w:r>
    </w:p>
    <w:p>
      <w:pPr>
        <w:spacing w:after="20" w:line="276" w:lineRule="auto"/>
        <w:ind w:left="340"/>
        <w:jc w:val="left"/>
      </w:pPr>
      <w:r>
        <w:rPr>
          <w:rFonts w:ascii="Times New Roman" w:hAnsi="Times New Roman"/>
          <w:b w:val="0"/>
          <w:i w:val="0"/>
          <w:color w:val="000000"/>
          <w:sz w:val="24"/>
        </w:rPr>
        <w:t>(   ) 3. Atribuição provisória pela literatura</w:t>
      </w:r>
    </w:p>
    <w:p>
      <w:pPr>
        <w:spacing w:after="20" w:line="276" w:lineRule="auto"/>
        <w:ind w:left="340"/>
        <w:jc w:val="left"/>
      </w:pPr>
      <w:r>
        <w:rPr>
          <w:rFonts w:ascii="Times New Roman" w:hAnsi="Times New Roman"/>
          <w:b w:val="0"/>
          <w:i w:val="0"/>
          <w:color w:val="000000"/>
          <w:sz w:val="24"/>
        </w:rPr>
        <w:t>(   ) 4. Não identificada</w:t>
      </w:r>
    </w:p>
    <w:p>
      <w:pPr>
        <w:keepNext/>
        <w:spacing w:after="80" w:line="276" w:lineRule="auto" w:before="80"/>
        <w:jc w:val="left"/>
      </w:pPr>
      <w:r>
        <w:rPr>
          <w:rFonts w:ascii="Times New Roman" w:hAnsi="Times New Roman"/>
          <w:b w:val="0"/>
          <w:i w:val="0"/>
          <w:color w:val="000000"/>
          <w:sz w:val="24"/>
        </w:rPr>
        <w:t>5. Nome vernáculo polissémico (designa mais de uma espécie)?</w:t>
      </w:r>
    </w:p>
    <w:p>
      <w:pPr>
        <w:spacing w:after="80" w:line="276" w:lineRule="auto"/>
        <w:ind w:left="340"/>
        <w:jc w:val="left"/>
      </w:pPr>
      <w:r>
        <w:rPr>
          <w:rFonts w:ascii="Times New Roman" w:hAnsi="Times New Roman"/>
          <w:b w:val="0"/>
          <w:i w:val="0"/>
          <w:color w:val="000000"/>
          <w:sz w:val="24"/>
        </w:rPr>
        <w:t>(   ) Sim     (   ) Não</w:t>
      </w:r>
    </w:p>
    <w:p>
      <w:pPr>
        <w:keepNext/>
        <w:spacing w:before="200" w:after="80" w:line="276" w:lineRule="auto"/>
        <w:jc w:val="left"/>
      </w:pPr>
      <w:r>
        <w:rPr>
          <w:rFonts w:ascii="Times New Roman" w:hAnsi="Times New Roman"/>
          <w:b/>
          <w:i w:val="0"/>
          <w:color w:val="000000"/>
          <w:sz w:val="24"/>
        </w:rPr>
        <w:t>Parte 2. Ficha de classificação do potencial de interacção (uma por combinação)</w:t>
      </w:r>
    </w:p>
    <w:p>
      <w:pPr>
        <w:spacing w:after="80" w:line="276" w:lineRule="auto"/>
        <w:jc w:val="left"/>
      </w:pPr>
      <w:r>
        <w:rPr>
          <w:rFonts w:ascii="Times New Roman" w:hAnsi="Times New Roman"/>
          <w:b w:val="0"/>
          <w:i w:val="0"/>
          <w:color w:val="000000"/>
          <w:sz w:val="24"/>
        </w:rPr>
        <w:t>Código da combinação: ______   Espécie (nome aceite): ______________   Nível de identificação: ___</w:t>
      </w:r>
    </w:p>
    <w:p>
      <w:pPr>
        <w:spacing w:after="80" w:line="276" w:lineRule="auto"/>
        <w:jc w:val="left"/>
      </w:pPr>
      <w:r>
        <w:rPr>
          <w:rFonts w:ascii="Times New Roman" w:hAnsi="Times New Roman"/>
          <w:b w:val="0"/>
          <w:i w:val="0"/>
          <w:color w:val="000000"/>
          <w:sz w:val="24"/>
        </w:rPr>
        <w:t>Anti-hipertensor e classe: ______________   Forma de preparação usada pelo doente: ______________</w:t>
      </w:r>
    </w:p>
    <w:p>
      <w:pPr>
        <w:spacing w:after="80" w:line="276" w:lineRule="auto"/>
        <w:jc w:val="left"/>
      </w:pPr>
      <w:r>
        <w:rPr>
          <w:rFonts w:ascii="Times New Roman" w:hAnsi="Times New Roman"/>
          <w:b w:val="0"/>
          <w:i w:val="0"/>
          <w:color w:val="000000"/>
          <w:sz w:val="24"/>
        </w:rPr>
        <w:t>Fontes consultadas e resultado: monografia da OMS __________; PubMed (data e estratégia) __________; estudo farmacocinético ou farmacodinâmico específico __________; outra base de acesso livre __________</w:t>
      </w:r>
    </w:p>
    <w:p>
      <w:pPr>
        <w:keepNext/>
        <w:spacing w:after="80" w:line="276" w:lineRule="auto" w:before="80"/>
        <w:jc w:val="left"/>
      </w:pPr>
      <w:r>
        <w:rPr>
          <w:rFonts w:ascii="Times New Roman" w:hAnsi="Times New Roman"/>
          <w:b w:val="0"/>
          <w:i w:val="0"/>
          <w:color w:val="000000"/>
          <w:sz w:val="24"/>
        </w:rPr>
        <w:t>6. Categoria:</w:t>
      </w:r>
    </w:p>
    <w:p>
      <w:pPr>
        <w:spacing w:after="20" w:line="276" w:lineRule="auto"/>
        <w:ind w:left="340"/>
        <w:jc w:val="left"/>
      </w:pPr>
      <w:r>
        <w:rPr>
          <w:rFonts w:ascii="Times New Roman" w:hAnsi="Times New Roman"/>
          <w:b w:val="0"/>
          <w:i w:val="0"/>
          <w:color w:val="000000"/>
          <w:sz w:val="24"/>
        </w:rPr>
        <w:t>(   ) 1. Interacção demonstrada em humanos</w:t>
      </w:r>
    </w:p>
    <w:p>
      <w:pPr>
        <w:spacing w:after="20" w:line="276" w:lineRule="auto"/>
        <w:ind w:left="340"/>
        <w:jc w:val="left"/>
      </w:pPr>
      <w:r>
        <w:rPr>
          <w:rFonts w:ascii="Times New Roman" w:hAnsi="Times New Roman"/>
          <w:b w:val="0"/>
          <w:i w:val="0"/>
          <w:color w:val="000000"/>
          <w:sz w:val="24"/>
        </w:rPr>
        <w:t>(   ) 2. Potencial descrito sem demonstração em humanos</w:t>
      </w:r>
    </w:p>
    <w:p>
      <w:pPr>
        <w:spacing w:after="20" w:line="276" w:lineRule="auto"/>
        <w:ind w:left="340"/>
        <w:jc w:val="left"/>
      </w:pPr>
      <w:r>
        <w:rPr>
          <w:rFonts w:ascii="Times New Roman" w:hAnsi="Times New Roman"/>
          <w:b w:val="0"/>
          <w:i w:val="0"/>
          <w:color w:val="000000"/>
          <w:sz w:val="24"/>
        </w:rPr>
        <w:t>(   ) 3. Estudada em humanos sem interacção relevante</w:t>
      </w:r>
    </w:p>
    <w:p>
      <w:pPr>
        <w:spacing w:after="20" w:line="276" w:lineRule="auto"/>
        <w:ind w:left="340"/>
        <w:jc w:val="left"/>
      </w:pPr>
      <w:r>
        <w:rPr>
          <w:rFonts w:ascii="Times New Roman" w:hAnsi="Times New Roman"/>
          <w:b w:val="0"/>
          <w:i w:val="0"/>
          <w:color w:val="000000"/>
          <w:sz w:val="24"/>
        </w:rPr>
        <w:t>(   ) 4. Sem informação</w:t>
      </w:r>
    </w:p>
    <w:p>
      <w:pPr>
        <w:spacing w:after="20" w:line="276" w:lineRule="auto"/>
        <w:ind w:left="340"/>
        <w:jc w:val="left"/>
      </w:pPr>
      <w:r>
        <w:rPr>
          <w:rFonts w:ascii="Times New Roman" w:hAnsi="Times New Roman"/>
          <w:b w:val="0"/>
          <w:i w:val="0"/>
          <w:color w:val="000000"/>
          <w:sz w:val="24"/>
        </w:rPr>
        <w:t>(   ) 5. Não avaliável</w:t>
      </w:r>
    </w:p>
    <w:p>
      <w:pPr>
        <w:keepNext/>
        <w:spacing w:after="80" w:line="276" w:lineRule="auto" w:before="80"/>
        <w:jc w:val="left"/>
      </w:pPr>
      <w:r>
        <w:rPr>
          <w:rFonts w:ascii="Times New Roman" w:hAnsi="Times New Roman"/>
          <w:b w:val="0"/>
          <w:i w:val="0"/>
          <w:color w:val="000000"/>
          <w:sz w:val="24"/>
        </w:rPr>
        <w:t>7. Mecanismo:</w:t>
      </w:r>
    </w:p>
    <w:p>
      <w:pPr>
        <w:spacing w:after="80" w:line="276" w:lineRule="auto"/>
        <w:ind w:left="340"/>
        <w:jc w:val="left"/>
      </w:pPr>
      <w:r>
        <w:rPr>
          <w:rFonts w:ascii="Times New Roman" w:hAnsi="Times New Roman"/>
          <w:b w:val="0"/>
          <w:i w:val="0"/>
          <w:color w:val="000000"/>
          <w:sz w:val="24"/>
        </w:rPr>
        <w:t>(   ) Farmacocinético     (   ) Farmacodinâmico     (   ) Desconhecido</w:t>
      </w:r>
    </w:p>
    <w:p>
      <w:pPr>
        <w:keepNext/>
        <w:spacing w:after="80" w:line="276" w:lineRule="auto" w:before="80"/>
        <w:jc w:val="left"/>
      </w:pPr>
      <w:r>
        <w:rPr>
          <w:rFonts w:ascii="Times New Roman" w:hAnsi="Times New Roman"/>
          <w:b w:val="0"/>
          <w:i w:val="0"/>
          <w:color w:val="000000"/>
          <w:sz w:val="24"/>
        </w:rPr>
        <w:t>8. Direcção:</w:t>
      </w:r>
    </w:p>
    <w:p>
      <w:pPr>
        <w:spacing w:after="20" w:line="276" w:lineRule="auto"/>
        <w:ind w:left="340"/>
        <w:jc w:val="left"/>
      </w:pPr>
      <w:r>
        <w:rPr>
          <w:rFonts w:ascii="Times New Roman" w:hAnsi="Times New Roman"/>
          <w:b w:val="0"/>
          <w:i w:val="0"/>
          <w:color w:val="000000"/>
          <w:sz w:val="24"/>
        </w:rPr>
        <w:t>(   ) Aumento do efeito do anti-hipertensor (hipotensão aditiva)</w:t>
      </w:r>
    </w:p>
    <w:p>
      <w:pPr>
        <w:spacing w:after="20" w:line="276" w:lineRule="auto"/>
        <w:ind w:left="340"/>
        <w:jc w:val="left"/>
      </w:pPr>
      <w:r>
        <w:rPr>
          <w:rFonts w:ascii="Times New Roman" w:hAnsi="Times New Roman"/>
          <w:b w:val="0"/>
          <w:i w:val="0"/>
          <w:color w:val="000000"/>
          <w:sz w:val="24"/>
        </w:rPr>
        <w:t>(   ) Redução do efeito do anti-hipertensor</w:t>
      </w:r>
    </w:p>
    <w:p>
      <w:pPr>
        <w:spacing w:after="20" w:line="276" w:lineRule="auto"/>
        <w:ind w:left="340"/>
        <w:jc w:val="left"/>
      </w:pPr>
      <w:r>
        <w:rPr>
          <w:rFonts w:ascii="Times New Roman" w:hAnsi="Times New Roman"/>
          <w:b w:val="0"/>
          <w:i w:val="0"/>
          <w:color w:val="000000"/>
          <w:sz w:val="24"/>
        </w:rPr>
        <w:t>(   ) Distúrbio electrolítico ou outra toxicidade aditiva</w:t>
      </w:r>
    </w:p>
    <w:p>
      <w:pPr>
        <w:spacing w:after="20" w:line="276" w:lineRule="auto"/>
        <w:ind w:left="340"/>
        <w:jc w:val="left"/>
      </w:pPr>
      <w:r>
        <w:rPr>
          <w:rFonts w:ascii="Times New Roman" w:hAnsi="Times New Roman"/>
          <w:b w:val="0"/>
          <w:i w:val="0"/>
          <w:color w:val="000000"/>
          <w:sz w:val="24"/>
        </w:rPr>
        <w:t>(   ) Não se aplica</w:t>
      </w:r>
    </w:p>
    <w:p>
      <w:pPr>
        <w:spacing w:after="80" w:line="276" w:lineRule="auto"/>
        <w:jc w:val="left"/>
      </w:pPr>
      <w:r>
        <w:rPr>
          <w:rFonts w:ascii="Times New Roman" w:hAnsi="Times New Roman"/>
          <w:b w:val="0"/>
          <w:i w:val="0"/>
          <w:color w:val="000000"/>
          <w:sz w:val="24"/>
        </w:rPr>
        <w:t>Avaliador (1 ou 2): ___   Data: ___/___/2027</w:t>
      </w:r>
    </w:p>
    <w:p>
      <w:pPr>
        <w:keepNext/>
        <w:spacing w:before="200" w:after="80" w:line="276" w:lineRule="auto"/>
        <w:jc w:val="left"/>
      </w:pPr>
      <w:r>
        <w:rPr>
          <w:rFonts w:ascii="Times New Roman" w:hAnsi="Times New Roman"/>
          <w:b/>
          <w:i w:val="0"/>
          <w:color w:val="000000"/>
          <w:sz w:val="24"/>
        </w:rPr>
        <w:t>Parte 3. Consentimento prévio de colaboradores na recolha de exemplares</w:t>
      </w:r>
    </w:p>
    <w:p>
      <w:pPr>
        <w:jc w:val="both"/>
      </w:pPr>
      <w:r>
        <w:rPr>
          <w:rFonts w:ascii="Times New Roman" w:hAnsi="Times New Roman"/>
          <w:b w:val="0"/>
          <w:i w:val="0"/>
          <w:color w:val="000000"/>
          <w:sz w:val="24"/>
        </w:rPr>
        <w:t>Eu, abaixo identificado(a), aceito indicar ou fornecer exemplares de plantas ao estudo, fui informado(a) de que o conhecimento que partilho não será divulgado de forma individual nem usado para fins comerciais e de que posso retirar a minha colaboração a qualquer momento.</w:t>
      </w:r>
    </w:p>
    <w:p>
      <w:pPr>
        <w:spacing w:after="80" w:line="276" w:lineRule="auto"/>
        <w:jc w:val="left"/>
      </w:pPr>
      <w:r>
        <w:rPr>
          <w:rFonts w:ascii="Times New Roman" w:hAnsi="Times New Roman"/>
          <w:b w:val="0"/>
          <w:i w:val="0"/>
          <w:color w:val="000000"/>
          <w:sz w:val="24"/>
        </w:rPr>
        <w:t>Nome ou código: ______________   Assinatura ou impressão digital: ______________   Data: ___/___/2027</w:t>
      </w:r>
    </w:p>
    <w:p>
      <w:pPr>
        <w:keepNext/>
        <w:spacing w:after="80" w:line="276" w:lineRule="auto" w:before="80"/>
        <w:jc w:val="left"/>
      </w:pPr>
      <w:r>
        <w:rPr>
          <w:rFonts w:ascii="Times New Roman" w:hAnsi="Times New Roman"/>
          <w:b w:val="0"/>
          <w:i w:val="0"/>
          <w:color w:val="000000"/>
          <w:sz w:val="24"/>
        </w:rPr>
        <w:t>9. Deseja ser reconhecido(a) pelo nome no relatório?</w:t>
      </w:r>
    </w:p>
    <w:p>
      <w:pPr>
        <w:spacing w:after="80" w:line="276" w:lineRule="auto"/>
        <w:ind w:left="340"/>
        <w:jc w:val="left"/>
      </w:pPr>
      <w:r>
        <w:rPr>
          <w:rFonts w:ascii="Times New Roman" w:hAnsi="Times New Roman"/>
          <w:b w:val="0"/>
          <w:i w:val="0"/>
          <w:color w:val="000000"/>
          <w:sz w:val="24"/>
        </w:rPr>
        <w:t>(   ) Sim     (   ) Não</w:t>
      </w:r>
    </w:p>
    <w:p>
      <w:pPr>
        <w:pStyle w:val="Heading2"/>
        <w:pageBreakBefore/>
      </w:pPr>
      <w:r>
        <w:rPr>
          <w:rFonts w:ascii="Times New Roman" w:hAnsi="Times New Roman"/>
          <w:b/>
          <w:i w:val="0"/>
          <w:color w:val="000000"/>
          <w:sz w:val="24"/>
        </w:rPr>
        <w:t>Apêndice C. Folha de informação ao participante</w:t>
      </w:r>
    </w:p>
    <w:p>
      <w:pPr>
        <w:jc w:val="both"/>
      </w:pPr>
      <w:r>
        <w:rPr>
          <w:rFonts w:ascii="Times New Roman" w:hAnsi="Times New Roman"/>
          <w:b w:val="0"/>
          <w:i w:val="0"/>
          <w:color w:val="000000"/>
          <w:sz w:val="24"/>
        </w:rPr>
        <w:t>Título do estudo: Uso concomitante de plantas medicinais e potencial de interacção com anti-hipertensores em doentes internados nos Departamentos de Medicina I e II, Hospital Central de Nampula. Investigador: estudante finalista da Licenciatura em Farmácia da Faculdade de Ciências de Saúde da Universidade Lúrio, sob orientação de um docente da mesma faculdade.</w:t>
      </w:r>
    </w:p>
    <w:p>
      <w:pPr>
        <w:jc w:val="both"/>
      </w:pPr>
      <w:r>
        <w:rPr>
          <w:rFonts w:ascii="Times New Roman" w:hAnsi="Times New Roman"/>
          <w:b w:val="0"/>
          <w:i w:val="0"/>
          <w:color w:val="000000"/>
          <w:sz w:val="24"/>
        </w:rPr>
        <w:t>Estamos a convidá-lo(a) a participar num estudo que quer saber se as pessoas internadas por tensão alta usam plantas ou remédios tradicionais junto com os medicamentos para a tensão, porquê, e se falam disso com os profissionais de saúde. Esta informação vai ajudar os farmacêuticos e os clínicos deste hospital a aconselhar melhor os doentes.</w:t>
      </w:r>
    </w:p>
    <w:p>
      <w:pPr>
        <w:jc w:val="both"/>
      </w:pPr>
      <w:r>
        <w:rPr>
          <w:rFonts w:ascii="Times New Roman" w:hAnsi="Times New Roman"/>
          <w:b w:val="0"/>
          <w:i w:val="0"/>
          <w:color w:val="000000"/>
          <w:sz w:val="24"/>
        </w:rPr>
        <w:t>Se aceitar, faremos uma entrevista de 30 a 40 minutos, num momento e num lugar que não atrapalhem o seu tratamento, e consultaremos o seu processo clínico para confirmar o diagnóstico e os medicamentos. Se quiser, poderá mostrar a planta ou o produto que usa para ser fotografado. Algumas pessoas poderão ser contactadas por telefone, se o autorizarem, para repetir algumas perguntas depois da alta.</w:t>
      </w:r>
    </w:p>
    <w:p>
      <w:pPr>
        <w:jc w:val="both"/>
      </w:pPr>
      <w:r>
        <w:rPr>
          <w:rFonts w:ascii="Times New Roman" w:hAnsi="Times New Roman"/>
          <w:b w:val="0"/>
          <w:i w:val="0"/>
          <w:color w:val="000000"/>
          <w:sz w:val="24"/>
        </w:rPr>
        <w:t>A participação é voluntária. Pode recusar ou desistir a qualquer momento. A sua participação e as suas respostas não têm nenhuma consequência no seu tratamento, na sua permanência no hospital ou na relação com a equipa que o(a) trata. Não há respostas certas nem erradas, e ninguém vai julgar as suas práticas. O seu nome não será escrito no questionário, e os resultados serão apresentados só em conjunto.</w:t>
      </w:r>
    </w:p>
    <w:p>
      <w:pPr>
        <w:jc w:val="both"/>
      </w:pPr>
      <w:r>
        <w:rPr>
          <w:rFonts w:ascii="Times New Roman" w:hAnsi="Times New Roman"/>
          <w:b w:val="0"/>
          <w:i w:val="0"/>
          <w:color w:val="000000"/>
          <w:sz w:val="24"/>
        </w:rPr>
        <w:t>O único incómodo previsto é o tempo da entrevista. Se contar que deixou de tomar algum anti-hipertensor, ou se usar uma combinação que possa fazer mal, receberá conselho e, se aceitar, o seu clínico será informado no mesmo dia. Se mais tarde for identificada uma combinação com risco conhecido, já depois da alta, o clínico poderá ser informado, apenas se o autorizar no termo de consentimento.</w:t>
      </w:r>
    </w:p>
    <w:p>
      <w:pPr>
        <w:spacing w:after="80" w:line="276" w:lineRule="auto"/>
        <w:jc w:val="left"/>
      </w:pPr>
      <w:r>
        <w:rPr>
          <w:rFonts w:ascii="Times New Roman" w:hAnsi="Times New Roman"/>
          <w:b w:val="0"/>
          <w:i w:val="0"/>
          <w:color w:val="000000"/>
          <w:sz w:val="24"/>
        </w:rPr>
        <w:t>Contactos: estudante [preencher]; orientador(a) [preencher]; CIBS-UniLúrio [preencher]</w:t>
      </w:r>
    </w:p>
    <w:p>
      <w:pPr>
        <w:pStyle w:val="Heading2"/>
        <w:pageBreakBefore/>
      </w:pPr>
      <w:r>
        <w:rPr>
          <w:rFonts w:ascii="Times New Roman" w:hAnsi="Times New Roman"/>
          <w:b/>
          <w:i w:val="0"/>
          <w:color w:val="000000"/>
          <w:sz w:val="24"/>
        </w:rPr>
        <w:t>Apêndice D. Termo de consentimento livre e esclarecido</w:t>
      </w:r>
    </w:p>
    <w:p>
      <w:pPr>
        <w:jc w:val="both"/>
      </w:pPr>
      <w:r>
        <w:rPr>
          <w:rFonts w:ascii="Times New Roman" w:hAnsi="Times New Roman"/>
          <w:b w:val="0"/>
          <w:i w:val="0"/>
          <w:color w:val="000000"/>
          <w:sz w:val="24"/>
        </w:rPr>
        <w:t>Declaro que li, ou que me foi lida numa língua que compreendo, a folha de informação sobre este estudo, que pude fazer perguntas e que as minhas dúvidas foram esclarecidas. Compreendo que a participação é voluntária, que posso desistir a qualquer momento e que a minha decisão não tem consequências no meu tratamento. Aceito participar.</w:t>
      </w:r>
    </w:p>
    <w:p>
      <w:pPr>
        <w:keepNext/>
        <w:spacing w:after="80" w:line="276" w:lineRule="auto" w:before="80"/>
        <w:jc w:val="left"/>
      </w:pPr>
      <w:r>
        <w:rPr>
          <w:rFonts w:ascii="Times New Roman" w:hAnsi="Times New Roman"/>
          <w:b w:val="0"/>
          <w:i w:val="0"/>
          <w:color w:val="000000"/>
          <w:sz w:val="24"/>
        </w:rPr>
        <w:t>1. Autorizo a consulta do meu processo clínico:</w:t>
      </w:r>
    </w:p>
    <w:p>
      <w:pPr>
        <w:spacing w:after="80" w:line="276" w:lineRule="auto"/>
        <w:ind w:left="340"/>
        <w:jc w:val="left"/>
      </w:pPr>
      <w:r>
        <w:rPr>
          <w:rFonts w:ascii="Times New Roman" w:hAnsi="Times New Roman"/>
          <w:b w:val="0"/>
          <w:i w:val="0"/>
          <w:color w:val="000000"/>
          <w:sz w:val="24"/>
        </w:rPr>
        <w:t>(   ) Sim     (   ) Não</w:t>
      </w:r>
    </w:p>
    <w:p>
      <w:pPr>
        <w:keepNext/>
        <w:spacing w:after="80" w:line="276" w:lineRule="auto" w:before="80"/>
        <w:jc w:val="left"/>
      </w:pPr>
      <w:r>
        <w:rPr>
          <w:rFonts w:ascii="Times New Roman" w:hAnsi="Times New Roman"/>
          <w:b w:val="0"/>
          <w:i w:val="0"/>
          <w:color w:val="000000"/>
          <w:sz w:val="24"/>
        </w:rPr>
        <w:t>2. Autorizo a fotografia da planta ou do produto que uso:</w:t>
      </w:r>
    </w:p>
    <w:p>
      <w:pPr>
        <w:spacing w:after="80" w:line="276" w:lineRule="auto"/>
        <w:ind w:left="340"/>
        <w:jc w:val="left"/>
      </w:pPr>
      <w:r>
        <w:rPr>
          <w:rFonts w:ascii="Times New Roman" w:hAnsi="Times New Roman"/>
          <w:b w:val="0"/>
          <w:i w:val="0"/>
          <w:color w:val="000000"/>
          <w:sz w:val="24"/>
        </w:rPr>
        <w:t>(   ) Sim     (   ) Não</w:t>
      </w:r>
    </w:p>
    <w:p>
      <w:pPr>
        <w:keepNext/>
        <w:spacing w:after="80" w:line="276" w:lineRule="auto" w:before="80"/>
        <w:jc w:val="left"/>
      </w:pPr>
      <w:r>
        <w:rPr>
          <w:rFonts w:ascii="Times New Roman" w:hAnsi="Times New Roman"/>
          <w:b w:val="0"/>
          <w:i w:val="0"/>
          <w:color w:val="000000"/>
          <w:sz w:val="24"/>
        </w:rPr>
        <w:t>3. Autorizo que me contactem por telefone para repetir algumas perguntas:</w:t>
      </w:r>
    </w:p>
    <w:p>
      <w:pPr>
        <w:spacing w:after="80" w:line="276" w:lineRule="auto"/>
        <w:ind w:left="340"/>
        <w:jc w:val="left"/>
      </w:pPr>
      <w:r>
        <w:rPr>
          <w:rFonts w:ascii="Times New Roman" w:hAnsi="Times New Roman"/>
          <w:b w:val="0"/>
          <w:i w:val="0"/>
          <w:color w:val="000000"/>
          <w:sz w:val="24"/>
        </w:rPr>
        <w:t>(   ) Sim     (   ) Não</w:t>
      </w:r>
    </w:p>
    <w:p>
      <w:pPr>
        <w:keepNext/>
        <w:spacing w:after="80" w:line="276" w:lineRule="auto" w:before="80"/>
        <w:jc w:val="left"/>
      </w:pPr>
      <w:r>
        <w:rPr>
          <w:rFonts w:ascii="Times New Roman" w:hAnsi="Times New Roman"/>
          <w:b w:val="0"/>
          <w:i w:val="0"/>
          <w:color w:val="000000"/>
          <w:sz w:val="24"/>
        </w:rPr>
        <w:t>4. Autorizo que o meu clínico assistente seja informado se for identificada uma combinação com risco conhecido:</w:t>
      </w:r>
    </w:p>
    <w:p>
      <w:pPr>
        <w:spacing w:after="80" w:line="276" w:lineRule="auto"/>
        <w:ind w:left="340"/>
        <w:jc w:val="left"/>
      </w:pPr>
      <w:r>
        <w:rPr>
          <w:rFonts w:ascii="Times New Roman" w:hAnsi="Times New Roman"/>
          <w:b w:val="0"/>
          <w:i w:val="0"/>
          <w:color w:val="000000"/>
          <w:sz w:val="24"/>
        </w:rPr>
        <w:t>(   ) Sim     (   ) Não</w:t>
      </w:r>
    </w:p>
    <w:p>
      <w:pPr>
        <w:spacing w:after="80" w:line="276" w:lineRule="auto"/>
        <w:jc w:val="left"/>
      </w:pPr>
      <w:r>
        <w:rPr>
          <w:rFonts w:ascii="Times New Roman" w:hAnsi="Times New Roman"/>
          <w:b w:val="0"/>
          <w:i w:val="0"/>
          <w:color w:val="000000"/>
          <w:sz w:val="24"/>
        </w:rPr>
        <w:t>Código do participante: __________   Data: ___/___/2027</w:t>
      </w:r>
    </w:p>
    <w:p>
      <w:pPr>
        <w:spacing w:after="80" w:line="276" w:lineRule="auto"/>
        <w:jc w:val="left"/>
      </w:pPr>
      <w:r>
        <w:rPr>
          <w:rFonts w:ascii="Times New Roman" w:hAnsi="Times New Roman"/>
          <w:b w:val="0"/>
          <w:i w:val="0"/>
          <w:color w:val="000000"/>
          <w:sz w:val="24"/>
        </w:rPr>
        <w:t>Assinatura do participante: ____________________   ou impressão digital: [          ]</w:t>
      </w:r>
    </w:p>
    <w:p>
      <w:pPr>
        <w:spacing w:before="40" w:after="160" w:line="240" w:lineRule="auto"/>
        <w:jc w:val="both"/>
      </w:pPr>
      <w:r>
        <w:rPr>
          <w:rFonts w:ascii="Times New Roman" w:hAnsi="Times New Roman"/>
          <w:b w:val="0"/>
          <w:i w:val="0"/>
          <w:color w:val="000000"/>
          <w:sz w:val="20"/>
        </w:rPr>
        <w:t>Para participantes que não sabem ler: a testemunha imparcial confirma que a folha de informação foi lida na íntegra e que o participante consentiu livremente.</w:t>
      </w:r>
    </w:p>
    <w:p>
      <w:pPr>
        <w:spacing w:after="80" w:line="276" w:lineRule="auto"/>
        <w:jc w:val="left"/>
      </w:pPr>
      <w:r>
        <w:rPr>
          <w:rFonts w:ascii="Times New Roman" w:hAnsi="Times New Roman"/>
          <w:b w:val="0"/>
          <w:i w:val="0"/>
          <w:color w:val="000000"/>
          <w:sz w:val="24"/>
        </w:rPr>
        <w:t>Nome e assinatura da testemunha: ____________________</w:t>
      </w:r>
    </w:p>
    <w:p>
      <w:pPr>
        <w:spacing w:after="80" w:line="276" w:lineRule="auto"/>
        <w:jc w:val="left"/>
      </w:pPr>
      <w:r>
        <w:rPr>
          <w:rFonts w:ascii="Times New Roman" w:hAnsi="Times New Roman"/>
          <w:b w:val="0"/>
          <w:i w:val="0"/>
          <w:color w:val="000000"/>
          <w:sz w:val="24"/>
        </w:rPr>
        <w:t>Nome e assinatura do entrevistador: ____________________</w:t>
      </w:r>
    </w:p>
    <w:p>
      <w:pPr>
        <w:pStyle w:val="Heading2"/>
        <w:pageBreakBefore/>
      </w:pPr>
      <w:r>
        <w:rPr>
          <w:rFonts w:ascii="Times New Roman" w:hAnsi="Times New Roman"/>
          <w:b/>
          <w:i w:val="0"/>
          <w:color w:val="000000"/>
          <w:sz w:val="24"/>
        </w:rPr>
        <w:t>Apêndice E. Pedido de autorização institucional</w:t>
      </w:r>
    </w:p>
    <w:p>
      <w:pPr>
        <w:jc w:val="both"/>
      </w:pPr>
      <w:r>
        <w:rPr>
          <w:rFonts w:ascii="Times New Roman" w:hAnsi="Times New Roman"/>
          <w:b w:val="0"/>
          <w:i w:val="0"/>
          <w:color w:val="000000"/>
          <w:sz w:val="24"/>
        </w:rPr>
        <w:t>Ex.mo(a) Senhor(a) Director(a) [Clínico(a) do Hospital Central de Nampula, ou Chefe do Departamento de Medicina I ou II]:</w:t>
      </w:r>
    </w:p>
    <w:p>
      <w:pPr>
        <w:jc w:val="both"/>
      </w:pPr>
      <w:r>
        <w:rPr>
          <w:rFonts w:ascii="Times New Roman" w:hAnsi="Times New Roman"/>
          <w:b w:val="0"/>
          <w:i w:val="0"/>
          <w:color w:val="000000"/>
          <w:sz w:val="24"/>
        </w:rPr>
        <w:t>Eu, estudante finalista da Licenciatura em Farmácia da Faculdade de Ciências de Saúde da Universidade Lúrio, venho solicitar autorização para realizar o estudo intitulado «Uso concomitante de plantas medicinais e potencial de interacção com anti-hipertensores em doentes internados nos Departamentos de Medicina I e II, Hospital Central de Nampula, 2027», junto dos doentes internados por hipertensão arterial ou por complicação hipertensiva, de 1 de Março a 30 de Junho de 2027, com possibilidade de prolongamento até 31 de Agosto de 2027.</w:t>
      </w:r>
    </w:p>
    <w:p>
      <w:pPr>
        <w:jc w:val="both"/>
      </w:pPr>
      <w:r>
        <w:rPr>
          <w:rFonts w:ascii="Times New Roman" w:hAnsi="Times New Roman"/>
          <w:b w:val="0"/>
          <w:i w:val="0"/>
          <w:color w:val="000000"/>
          <w:sz w:val="24"/>
        </w:rPr>
        <w:t>O estudo inclui entrevistas a doentes adultos internados que consintam em participar e a consulta dos respectivos processos clínicos, sem interferir nos cuidados clínicos nem na organização das enfermarias. Os dados serão confidenciais e apresentados apenas de forma agregada, e o estudo só começará depois da aprovação do CIBS-UniLúrio, cuja cópia será anexada. Os resultados serão entregues a esta instituição num relatório escrito.</w:t>
      </w:r>
    </w:p>
    <w:p>
      <w:pPr>
        <w:spacing w:after="80" w:line="276" w:lineRule="auto"/>
        <w:jc w:val="left"/>
      </w:pPr>
      <w:r>
        <w:rPr>
          <w:rFonts w:ascii="Times New Roman" w:hAnsi="Times New Roman"/>
          <w:b w:val="0"/>
          <w:i w:val="0"/>
          <w:color w:val="000000"/>
          <w:sz w:val="24"/>
        </w:rPr>
        <w:t>Nampula, ___ de __________ de 2026</w:t>
      </w:r>
    </w:p>
    <w:p>
      <w:pPr>
        <w:spacing w:after="80" w:line="276" w:lineRule="auto"/>
        <w:jc w:val="left"/>
      </w:pPr>
      <w:r>
        <w:rPr>
          <w:rFonts w:ascii="Times New Roman" w:hAnsi="Times New Roman"/>
          <w:b w:val="0"/>
          <w:i w:val="0"/>
          <w:color w:val="000000"/>
          <w:sz w:val="24"/>
        </w:rPr>
        <w:t>O(A) estudante: ____________________   O(A) orientador(a): ____________________</w:t>
      </w:r>
    </w:p>
    <w:sectPr w:rsidR="00FC693F" w:rsidRPr="0006063C" w:rsidSect="00034616">
      <w:footerReference w:type="default" r:id="rId9"/>
      <w:footerReference w:type="first" r:id="rId10"/>
      <w:pgSz w:w="11906" w:h="16838"/>
      <w:pgMar w:top="1701" w:right="1417" w:bottom="1701" w:left="1417" w:header="850" w:footer="85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Times New Roman" w:hAnsi="Times New Roman"/>
        <w:sz w:val="24"/>
      </w:rPr>
      <w:fldChar w:fldCharType="begin"/>
      <w:instrText xml:space="preserve">PAGE</w:instrText>
      <w:fldChar w:fldCharType="separate"/>
    </w:r>
    <w:r>
      <w:rPr>
        <w:rFonts w:ascii="Times New Roman" w:hAnsi="Times New Roman"/>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120"/>
      <w:jc w:val="both"/>
    </w:pPr>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left"/>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jc w:val="left"/>
      <w:outlineLvl w:val="2"/>
    </w:pPr>
    <w:rPr>
      <w:rFonts w:ascii="Times New Roman" w:hAnsi="Times New Roman" w:eastAsia="Times New Roman" w:cs="Times New Roman"/>
      <w:b w:val="0"/>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b w:val="0"/>
      <w:i w:val="0"/>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60"/>
      <w:contextualSpacing/>
      <w:jc w:val="both"/>
    </w:pPr>
    <w:rPr>
      <w:rFonts w:ascii="Times New Roman" w:hAnsi="Times New Roman" w:eastAsia="Times New Roman" w:cs="Times New Roman"/>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b w:val="0"/>
      <w:i w:val="0"/>
      <w:color w:val="000000"/>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spacing w:after="40" w:line="276" w:lineRule="auto"/>
      <w:ind w:left="0"/>
    </w:pPr>
    <w:rPr>
      <w:rFonts w:ascii="Times New Roman" w:hAnsi="Times New Roman" w:eastAsia="Times New Roman" w:cs="Times New Roman"/>
      <w:b/>
      <w:i w:val="0"/>
      <w:color w:val="000000"/>
      <w:sz w:val="24"/>
    </w:rPr>
  </w:style>
  <w:style w:type="paragraph" w:customStyle="1" w:styleId="TOC2">
    <w:name w:val="TOC 2"/>
    <w:pPr>
      <w:spacing w:after="40" w:line="276" w:lineRule="auto"/>
      <w:ind w:left="283"/>
    </w:pPr>
    <w:rPr>
      <w:rFonts w:ascii="Times New Roman" w:hAnsi="Times New Roman" w:eastAsia="Times New Roman" w:cs="Times New Roman"/>
      <w:b/>
      <w:i w:val="0"/>
      <w:color w:val="000000"/>
      <w:sz w:val="24"/>
    </w:rPr>
  </w:style>
  <w:style w:type="paragraph" w:customStyle="1" w:styleId="TOC3">
    <w:name w:val="TOC 3"/>
    <w:pPr>
      <w:spacing w:after="40" w:line="276" w:lineRule="auto"/>
      <w:ind w:left="567"/>
    </w:pPr>
    <w:rPr>
      <w:rFonts w:ascii="Times New Roman" w:hAnsi="Times New Roman" w:eastAsia="Times New Roman" w:cs="Times New Roman"/>
      <w:b w:val="0"/>
      <w:i w:val="0"/>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Uso concomitante de plantas medicinais e potencial de interacção com anti-hipertensores em doentes internados nos Departamentos de Medicina I e II, Hospital Central de Nampula, 2027</dc:title>
  <dc:subject>Protocolo de investigação, Faculdade de Ciências de Saúde</dc:subject>
  <dc:creator>Estudante de Licenciatura em Farmácia, UniLúrio</dc:creator>
  <cp:keywords>doentes internados; hipertensão arterial; interacções entre plantas e medicamentos; Moçambique; plantas medicinais</cp:keywords>
  <dc:description/>
  <cp:lastModifiedBy>Estudante de Licenciatura em Farmácia, UniLúrio</cp:lastModifiedBy>
  <cp:revision>1</cp:revision>
  <dcterms:created xsi:type="dcterms:W3CDTF">2013-12-23T23:15:00Z</dcterms:created>
  <dcterms:modified xsi:type="dcterms:W3CDTF">2013-12-23T23:15:00Z</dcterms:modified>
  <cp:category>Farmacognosia e Plantas Medicinais</cp:category>
</cp:coreProperties>
</file>