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Shoof API – Purchase Order Creation</w:t>
      </w:r>
    </w:p>
    <w:p>
      <w:r>
        <w:t>Script Name: SL_VS_Shoof_API_PO.js</w:t>
      </w:r>
    </w:p>
    <w:p>
      <w:r>
        <w:t>Record Type: Purchase Order (purchaseorder)</w:t>
      </w:r>
    </w:p>
    <w:p>
      <w:r>
        <w:t>Purpose: This API allows Shoof to create new Purchase Orders in NetSuite.</w:t>
      </w:r>
    </w:p>
    <w:p>
      <w:pPr>
        <w:pStyle w:val="Heading2"/>
      </w:pPr>
      <w:r>
        <w:t>Endpoint Details</w:t>
      </w:r>
    </w:p>
    <w:p>
      <w:r>
        <w:t>- Type: Suitelet (exposed as REST-like API)</w:t>
        <w:br/>
        <w:t>- Method: POST</w:t>
        <w:br/>
        <w:t>- Authentication: (depends on NetSuite deployment settings)</w:t>
        <w:br/>
        <w:t>- Response Format: JSON</w:t>
      </w:r>
    </w:p>
    <w:p>
      <w:pPr>
        <w:pStyle w:val="Heading2"/>
      </w:pPr>
      <w:r>
        <w:t>Mandatory Header Fields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Field Name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Data Type</w:t>
            </w:r>
          </w:p>
        </w:tc>
        <w:tc>
          <w:tcPr>
            <w:tcW w:type="dxa" w:w="1728"/>
          </w:tcPr>
          <w:p>
            <w:r>
              <w:t>Example</w:t>
            </w:r>
          </w:p>
        </w:tc>
        <w:tc>
          <w:tcPr>
            <w:tcW w:type="dxa" w:w="1728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entity</w:t>
            </w:r>
          </w:p>
        </w:tc>
        <w:tc>
          <w:tcPr>
            <w:tcW w:type="dxa" w:w="1728"/>
          </w:tcPr>
          <w:p>
            <w:r>
              <w:t>Vendor internal ID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456</w:t>
            </w:r>
          </w:p>
        </w:tc>
        <w:tc>
          <w:tcPr>
            <w:tcW w:type="dxa" w:w="1728"/>
          </w:tcPr>
          <w:p>
            <w:r>
              <w:t>Must be a valid internal ID of a vendor.</w:t>
            </w:r>
          </w:p>
        </w:tc>
      </w:tr>
      <w:tr>
        <w:tc>
          <w:tcPr>
            <w:tcW w:type="dxa" w:w="1728"/>
          </w:tcPr>
          <w:p>
            <w:r>
              <w:t>location</w:t>
            </w:r>
          </w:p>
        </w:tc>
        <w:tc>
          <w:tcPr>
            <w:tcW w:type="dxa" w:w="1728"/>
          </w:tcPr>
          <w:p>
            <w:r>
              <w:t>Location internal ID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Must be a valid internal ID of a location.</w:t>
            </w:r>
          </w:p>
        </w:tc>
      </w:tr>
    </w:tbl>
    <w:p>
      <w:pPr>
        <w:pStyle w:val="Heading2"/>
      </w:pPr>
      <w:r>
        <w:t>Optional Header Fields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Field Name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Data Type</w:t>
            </w:r>
          </w:p>
        </w:tc>
        <w:tc>
          <w:tcPr>
            <w:tcW w:type="dxa" w:w="1728"/>
          </w:tcPr>
          <w:p>
            <w:r>
              <w:t>Example</w:t>
            </w:r>
          </w:p>
        </w:tc>
        <w:tc>
          <w:tcPr>
            <w:tcW w:type="dxa" w:w="1728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custbody_vs_shoof_transaction_id</w:t>
            </w:r>
          </w:p>
        </w:tc>
        <w:tc>
          <w:tcPr>
            <w:tcW w:type="dxa" w:w="1728"/>
          </w:tcPr>
          <w:p>
            <w:r>
              <w:t>Shoof transaction reference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PO-9999</w:t>
            </w:r>
          </w:p>
        </w:tc>
        <w:tc>
          <w:tcPr>
            <w:tcW w:type="dxa" w:w="1728"/>
          </w:tcPr>
          <w:p>
            <w:r>
              <w:t>Optional tracking ID passed from Shoof.</w:t>
            </w:r>
          </w:p>
        </w:tc>
      </w:tr>
    </w:tbl>
    <w:p>
      <w:pPr>
        <w:pStyle w:val="Heading2"/>
      </w:pPr>
      <w:r>
        <w:t>Mandatory Line Fields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Field Name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Data Type</w:t>
            </w:r>
          </w:p>
        </w:tc>
        <w:tc>
          <w:tcPr>
            <w:tcW w:type="dxa" w:w="1728"/>
          </w:tcPr>
          <w:p>
            <w:r>
              <w:t>Example</w:t>
            </w:r>
          </w:p>
        </w:tc>
        <w:tc>
          <w:tcPr>
            <w:tcW w:type="dxa" w:w="1728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SKU (custitem_vs_sku)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12345</w:t>
            </w:r>
          </w:p>
        </w:tc>
        <w:tc>
          <w:tcPr>
            <w:tcW w:type="dxa" w:w="1728"/>
          </w:tcPr>
          <w:p>
            <w:r>
              <w:t>API receives SKU, system resolves to itemid.</w:t>
            </w:r>
          </w:p>
        </w:tc>
      </w:tr>
      <w:tr>
        <w:tc>
          <w:tcPr>
            <w:tcW w:type="dxa" w:w="1728"/>
          </w:tcPr>
          <w:p>
            <w:r>
              <w:t>quantity</w:t>
            </w:r>
          </w:p>
        </w:tc>
        <w:tc>
          <w:tcPr>
            <w:tcW w:type="dxa" w:w="1728"/>
          </w:tcPr>
          <w:p>
            <w:r>
              <w:t>Quantity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Quantity of the item.</w:t>
            </w:r>
          </w:p>
        </w:tc>
      </w:tr>
      <w:tr>
        <w:tc>
          <w:tcPr>
            <w:tcW w:type="dxa" w:w="1728"/>
          </w:tcPr>
          <w:p>
            <w:r>
              <w:t>rate</w:t>
            </w:r>
          </w:p>
        </w:tc>
        <w:tc>
          <w:tcPr>
            <w:tcW w:type="dxa" w:w="1728"/>
          </w:tcPr>
          <w:p>
            <w:r>
              <w:t>Rate/Unit Price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Rate applied per unit.</w:t>
            </w:r>
          </w:p>
        </w:tc>
      </w:tr>
      <w:tr>
        <w:tc>
          <w:tcPr>
            <w:tcW w:type="dxa" w:w="1728"/>
          </w:tcPr>
          <w:p>
            <w:r>
              <w:t>taxable</w:t>
            </w:r>
          </w:p>
        </w:tc>
        <w:tc>
          <w:tcPr>
            <w:tcW w:type="dxa" w:w="1728"/>
          </w:tcPr>
          <w:p>
            <w:r>
              <w:t>Taxable flag</w:t>
            </w:r>
          </w:p>
        </w:tc>
        <w:tc>
          <w:tcPr>
            <w:tcW w:type="dxa" w:w="1728"/>
          </w:tcPr>
          <w:p>
            <w:r>
              <w:t>Yes/No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If Yes → taxcode 10, If No → taxcode 11.</w:t>
            </w:r>
          </w:p>
        </w:tc>
      </w:tr>
    </w:tbl>
    <w:p>
      <w:pPr>
        <w:pStyle w:val="Heading2"/>
      </w:pPr>
      <w:r>
        <w:t>System Behavior</w:t>
      </w:r>
    </w:p>
    <w:p>
      <w:r>
        <w:t>1. The API validates header and line fields.</w:t>
        <w:br/>
        <w:t>2. Item lines are resolved by searching for custitem_vs_sku and using the itemid (text) in the transaction.</w:t>
        <w:br/>
        <w:t>3. Taxable flag determines taxcode:</w:t>
        <w:br/>
        <w:t xml:space="preserve">   - Yes → 10</w:t>
        <w:br/>
        <w:t xml:space="preserve">   - No → 11</w:t>
        <w:br/>
        <w:t>4. Default form (customform=151), approvalstatus=2, subsidiary=2 are set automatically.</w:t>
      </w:r>
    </w:p>
    <w:p>
      <w:pPr>
        <w:pStyle w:val="Heading2"/>
      </w:pPr>
      <w:r>
        <w:t>Request Example (JSON)</w:t>
      </w:r>
    </w:p>
    <w:p>
      <w:r>
        <w:br/>
        <w:t>{</w:t>
        <w:br/>
        <w:t xml:space="preserve">  "entity": 456,</w:t>
        <w:br/>
        <w:t xml:space="preserve">  "location": 2,</w:t>
        <w:br/>
        <w:t xml:space="preserve">  "custbody_vs_shoof_transaction_id": "PO-9999",</w:t>
        <w:br/>
        <w:t xml:space="preserve">  "items": [</w:t>
        <w:br/>
        <w:t xml:space="preserve">    { "id": "12345", "quantity": 10, "rate": 50, "taxable": "Yes" },</w:t>
        <w:br/>
        <w:t xml:space="preserve">    { "id": "67890", "quantity": 5, "rate": 30, "taxable": "No" }</w:t>
        <w:br/>
        <w:t xml:space="preserve">  ]</w:t>
        <w:br/>
        <w:t>}</w:t>
        <w:br/>
      </w:r>
    </w:p>
    <w:p>
      <w:pPr>
        <w:pStyle w:val="Heading2"/>
      </w:pPr>
      <w:r>
        <w:t>Response Examples</w:t>
      </w:r>
    </w:p>
    <w:p>
      <w:r>
        <w:t>✅ Success:</w:t>
        <w:br/>
        <w:t>{</w:t>
        <w:br/>
        <w:t xml:space="preserve">  "success": true,</w:t>
        <w:br/>
        <w:t xml:space="preserve">  "recordType": "purchaseorder",</w:t>
        <w:br/>
        <w:t xml:space="preserve">  "internalId": "1234",</w:t>
        <w:br/>
        <w:t xml:space="preserve">  "tranId": "PO1001",</w:t>
        <w:br/>
        <w:t xml:space="preserve">  "warnings": []</w:t>
        <w:br/>
        <w:t>}</w:t>
      </w:r>
    </w:p>
    <w:p>
      <w:r>
        <w:t>❌ Error (Invalid JSON):</w:t>
        <w:br/>
        <w:t>{</w:t>
        <w:br/>
        <w:t xml:space="preserve">  "success": false,</w:t>
        <w:br/>
        <w:t xml:space="preserve">  "code": "INVALID_JSON",</w:t>
        <w:br/>
        <w:t xml:space="preserve">  "message": "Request body must be valid JSON."</w:t>
        <w:br/>
        <w:t>}</w:t>
      </w:r>
    </w:p>
    <w:p>
      <w:r>
        <w:t>❌ Error (Item not found):</w:t>
        <w:br/>
        <w:t>{</w:t>
        <w:br/>
        <w:t xml:space="preserve">  "success": false,</w:t>
        <w:br/>
        <w:t xml:space="preserve">  "code": "VALIDATION_ERROR",</w:t>
        <w:br/>
        <w:t xml:space="preserve">  "message": "Item not found for custitem_vs_sku '12345'",</w:t>
        <w:br/>
        <w:t xml:space="preserve">  "details": { "line": 1, "id": "12345" }</w:t>
        <w:br/>
        <w:t>}</w:t>
      </w:r>
    </w:p>
    <w:p>
      <w:pPr>
        <w:pStyle w:val="Heading2"/>
      </w:pPr>
      <w:r>
        <w:t>Deployment Notes</w:t>
      </w:r>
    </w:p>
    <w:p>
      <w:r>
        <w:t>- Deploy as Suitelet with external availability enabled.</w:t>
        <w:br/>
        <w:t>- Ensure roles used for integration have permission to create Purchase Orders and access items.</w:t>
        <w:br/>
        <w:t>- Update taxcode IDs (10 and 11) if company setup uses different tax codes.</w:t>
        <w:br/>
        <w:t>- Update customform, subsidiary defaults as needed.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