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E7" w:rsidRPr="000558E7" w:rsidRDefault="000558E7" w:rsidP="0005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Report –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Deep Learning Assignment 1</w:t>
      </w:r>
      <w:bookmarkStart w:id="0" w:name="_GoBack"/>
      <w:bookmarkEnd w:id="0"/>
    </w:p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22i-1948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br/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Hamza </w:t>
      </w:r>
      <w:proofErr w:type="spellStart"/>
      <w:r w:rsidRPr="000558E7">
        <w:rPr>
          <w:rFonts w:ascii="Times New Roman" w:eastAsia="Times New Roman" w:hAnsi="Times New Roman" w:cs="Times New Roman"/>
          <w:sz w:val="24"/>
          <w:szCs w:val="24"/>
        </w:rPr>
        <w:t>Sabih</w:t>
      </w:r>
      <w:proofErr w:type="spellEnd"/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1. 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671"/>
        <w:gridCol w:w="1333"/>
        <w:gridCol w:w="1247"/>
        <w:gridCol w:w="1113"/>
        <w:gridCol w:w="1053"/>
        <w:gridCol w:w="701"/>
        <w:gridCol w:w="822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 (approx.)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Pretraining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Epochs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50-layer deep residual CNN with skip connections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~25.6M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ImageNet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1e-4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CNN with compound scaling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~5.3M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ImageNet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1e-4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 for Baselines:</w:t>
      </w:r>
    </w:p>
    <w:p w:rsidR="000558E7" w:rsidRPr="000558E7" w:rsidRDefault="000558E7" w:rsidP="0005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ResNet50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>: A widely used deep CNN with strong feature extraction capabilities, chosen as a high-capacity baseline.</w:t>
      </w:r>
    </w:p>
    <w:p w:rsidR="000558E7" w:rsidRPr="000558E7" w:rsidRDefault="000558E7" w:rsidP="0005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EfficientNet-B0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>: Selected for comparison as a smaller, efficient model optimized for accuracy-to-parameter ratio.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2. Dataset Splits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208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t>The dataset contained three tasks:</w:t>
      </w:r>
    </w:p>
    <w:p w:rsidR="000558E7" w:rsidRPr="000558E7" w:rsidRDefault="000558E7" w:rsidP="00055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Categorical classification</w:t>
      </w:r>
    </w:p>
    <w:p w:rsidR="000558E7" w:rsidRPr="000558E7" w:rsidRDefault="000558E7" w:rsidP="00055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Valence &amp; Arousal: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Continuous regression tasks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3. Training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368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horizontal flips, rotations, normalization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 Functions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CrossEntropy</w:t>
            </w:r>
            <w:proofErr w:type="spellEnd"/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(Expression), MSE (Valence &amp; Arousal)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StepLR</w:t>
            </w:r>
            <w:proofErr w:type="spellEnd"/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(step size=5, gamma=0.1)</w:t>
            </w:r>
          </w:p>
        </w:tc>
      </w:tr>
    </w:tbl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t>Both models showed decreasing training loss and increasing accuracy over epochs, indicating stable convergence.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4.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203"/>
        <w:gridCol w:w="4938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 Used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Categorical (Expression)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F1-Score, Cohen’s Kappa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Measure predictive accuracy, balance precision/recall, and assess agreement beyond chance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(Valence, Arousal)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RMSE, CORR, CCC, SAGR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Measure error, linear correlation, concordance, and polarity agreement respectively</w:t>
            </w:r>
          </w:p>
        </w:tc>
      </w:tr>
    </w:tbl>
    <w:p w:rsidR="000558E7" w:rsidRPr="000558E7" w:rsidRDefault="000558E7" w:rsidP="0005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RMSE: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Penalizes large deviations.</w:t>
      </w:r>
    </w:p>
    <w:p w:rsidR="000558E7" w:rsidRPr="000558E7" w:rsidRDefault="000558E7" w:rsidP="0005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CORR: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Captures trend alignment.</w:t>
      </w:r>
    </w:p>
    <w:p w:rsidR="000558E7" w:rsidRPr="000558E7" w:rsidRDefault="000558E7" w:rsidP="0005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CCC: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Combines correlation and mean difference — essential for real-world applications.</w:t>
      </w:r>
    </w:p>
    <w:p w:rsidR="000558E7" w:rsidRPr="000558E7" w:rsidRDefault="000558E7" w:rsidP="00055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SAGR: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Ensures correct emotional polarity (e.g., positive vs. negative).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5. Performance Comparison</w: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🧠 Expression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033"/>
        <w:gridCol w:w="980"/>
        <w:gridCol w:w="1669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Cohen’s Kappa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0.5050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0.5009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0.4343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0.4500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0.4421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0.3714</w:t>
            </w:r>
          </w:p>
        </w:tc>
      </w:tr>
    </w:tbl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ResNet50 outperformed EfficientNet-B0 across all classification metrics, indicating stronger discriminative feature learning.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58E7">
        <w:rPr>
          <w:rFonts w:ascii="Segoe UI Symbol" w:eastAsia="Times New Roman" w:hAnsi="Segoe UI Symbol" w:cs="Segoe UI Symbol"/>
          <w:b/>
          <w:bCs/>
          <w:sz w:val="24"/>
          <w:szCs w:val="24"/>
        </w:rPr>
        <w:t>💓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Valence Prediction (Continuous)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54"/>
        <w:gridCol w:w="767"/>
        <w:gridCol w:w="720"/>
        <w:gridCol w:w="742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CCC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SAGR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0.3968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0.5608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0.5354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0.7762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0.4046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0.5713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0.5535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0.7063</w:t>
            </w:r>
          </w:p>
        </w:tc>
      </w:tr>
    </w:tbl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58E7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achieved slightly higher CORR and CCC, indicating stronger correlation and agreement, but </w:t>
      </w:r>
      <w:proofErr w:type="spellStart"/>
      <w:r w:rsidRPr="000558E7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had lower RMSE and higher SAGR.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58E7">
        <w:rPr>
          <w:rFonts w:ascii="Segoe UI Symbol" w:eastAsia="Times New Roman" w:hAnsi="Segoe UI Symbol" w:cs="Segoe UI Symbol"/>
          <w:b/>
          <w:bCs/>
          <w:sz w:val="24"/>
          <w:szCs w:val="24"/>
        </w:rPr>
        <w:t>⚡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Arousal Prediction (Continuous)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54"/>
        <w:gridCol w:w="767"/>
        <w:gridCol w:w="720"/>
        <w:gridCol w:w="742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CCC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SAGR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0.3483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0.5035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0.4940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0.7913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0.3476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0.5051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0.4682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0.7850</w:t>
            </w:r>
          </w:p>
        </w:tc>
      </w:tr>
    </w:tbl>
    <w:p w:rsidR="000558E7" w:rsidRPr="000558E7" w:rsidRDefault="000558E7" w:rsidP="0005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Both models performed similarly, with </w:t>
      </w:r>
      <w:proofErr w:type="spellStart"/>
      <w:r w:rsidRPr="000558E7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slightly outperforming in CCC and SAGR, while </w:t>
      </w:r>
      <w:proofErr w:type="spellStart"/>
      <w:r w:rsidRPr="000558E7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had marginally better RMSE and CORR.</w:t>
      </w:r>
    </w:p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6. Results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090"/>
        <w:gridCol w:w="2744"/>
      </w:tblGrid>
      <w:tr w:rsidR="000558E7" w:rsidRPr="000558E7" w:rsidTr="00055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Weaknesses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Best classification performance, higher sign agreement (SAGR), more robust predictions overall.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Heavier model, slower inference.</w:t>
            </w:r>
          </w:p>
        </w:tc>
      </w:tr>
      <w:tr w:rsidR="000558E7" w:rsidRPr="000558E7" w:rsidTr="00055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Better correlation (CORR) and concordance (CCC) in valence, faster and more efficient.</w:t>
            </w:r>
          </w:p>
        </w:tc>
        <w:tc>
          <w:tcPr>
            <w:tcW w:w="0" w:type="auto"/>
            <w:vAlign w:val="center"/>
            <w:hideMark/>
          </w:tcPr>
          <w:p w:rsidR="000558E7" w:rsidRPr="000558E7" w:rsidRDefault="000558E7" w:rsidP="00055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E7">
              <w:rPr>
                <w:rFonts w:ascii="Times New Roman" w:eastAsia="Times New Roman" w:hAnsi="Times New Roman" w:cs="Times New Roman"/>
                <w:sz w:val="24"/>
                <w:szCs w:val="24"/>
              </w:rPr>
              <w:t>Lower classification accuracy and F1-Score.</w:t>
            </w:r>
          </w:p>
        </w:tc>
      </w:tr>
    </w:tbl>
    <w:p w:rsidR="000558E7" w:rsidRPr="000558E7" w:rsidRDefault="000558E7" w:rsidP="00055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58E7" w:rsidRPr="000558E7" w:rsidRDefault="000558E7" w:rsidP="00055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8E7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</w:t>
      </w:r>
    </w:p>
    <w:p w:rsidR="000558E7" w:rsidRPr="000558E7" w:rsidRDefault="000558E7" w:rsidP="00055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Best Overall Performer: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🥇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ResNet50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– consistently stronger classification results and higher polarity agreement make it more reliable for real-world deployment.</w:t>
      </w:r>
    </w:p>
    <w:p w:rsidR="000558E7" w:rsidRPr="000558E7" w:rsidRDefault="000558E7" w:rsidP="00055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EfficientNet-B0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offers slightly better regression correlation and is faster, making it attractive for edge deployment scenarios.</w:t>
      </w:r>
    </w:p>
    <w:p w:rsidR="000558E7" w:rsidRPr="000558E7" w:rsidRDefault="000558E7" w:rsidP="00055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Metric Importance: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For affective computing “in the wild,”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CORR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58E7">
        <w:rPr>
          <w:rFonts w:ascii="Times New Roman" w:eastAsia="Times New Roman" w:hAnsi="Times New Roman" w:cs="Times New Roman"/>
          <w:b/>
          <w:bCs/>
          <w:sz w:val="24"/>
          <w:szCs w:val="24"/>
        </w:rPr>
        <w:t>CCC</w:t>
      </w:r>
      <w:r w:rsidRPr="000558E7">
        <w:rPr>
          <w:rFonts w:ascii="Times New Roman" w:eastAsia="Times New Roman" w:hAnsi="Times New Roman" w:cs="Times New Roman"/>
          <w:sz w:val="24"/>
          <w:szCs w:val="24"/>
        </w:rPr>
        <w:t xml:space="preserve"> are the most critical metrics, as they evaluate not just closeness but also alignment with human emotional patterns.</w:t>
      </w:r>
    </w:p>
    <w:p w:rsidR="001C2DD3" w:rsidRDefault="001C2DD3"/>
    <w:sectPr w:rsidR="001C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552"/>
    <w:multiLevelType w:val="multilevel"/>
    <w:tmpl w:val="835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96D50"/>
    <w:multiLevelType w:val="multilevel"/>
    <w:tmpl w:val="CAB2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11C38"/>
    <w:multiLevelType w:val="multilevel"/>
    <w:tmpl w:val="983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20AF8"/>
    <w:multiLevelType w:val="multilevel"/>
    <w:tmpl w:val="1EF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8E7"/>
    <w:rsid w:val="000558E7"/>
    <w:rsid w:val="001C2DD3"/>
    <w:rsid w:val="00353ECF"/>
    <w:rsid w:val="0086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FCCE"/>
  <w15:chartTrackingRefBased/>
  <w15:docId w15:val="{901F4601-3F0C-4D34-B8B9-FB64CB3E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5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5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58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5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58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58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5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5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 Traders</dc:creator>
  <cp:keywords/>
  <dc:description/>
  <cp:lastModifiedBy>Genius Traders</cp:lastModifiedBy>
  <cp:revision>1</cp:revision>
  <dcterms:created xsi:type="dcterms:W3CDTF">2025-09-26T18:28:00Z</dcterms:created>
  <dcterms:modified xsi:type="dcterms:W3CDTF">2025-09-26T18:31:00Z</dcterms:modified>
</cp:coreProperties>
</file>