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Building Sequential Workflows in LangGraph</w:t>
      </w:r>
    </w:p>
    <w:p>
      <w:pPr>
        <w:spacing w:after="200"/>
      </w:pPr>
      <w:r>
        <w:rPr>
          <w:i/>
          <w:iCs/>
          <w:color w:val="555555"/>
        </w:rPr>
        <w:t xml:space="preserve">A practical walkthrough of how a step-by-step LangGraph workflow is actually built, from environment setup through a non-LLM warm-up example to a full two-step prompt-chaining pipeline.</w:t>
      </w:r>
    </w:p>
    <w:p>
      <w:pPr>
        <w:pStyle w:val="Heading1"/>
      </w:pPr>
      <w:r>
        <w:t xml:space="preserve">1. Setting Up the Environment</w:t>
      </w:r>
    </w:p>
    <w:p>
      <w:pPr>
        <w:spacing w:after="200"/>
      </w:pPr>
      <w:r>
        <w:t xml:space="preserve">Before any graph logic can be written, the groundwork needs to be in place: the LangGraph and LangChain libraries, an OpenAI-compatible dependency for making model calls, and a virtual environment to keep the project's packages isolated from anything else on the machine.</w:t>
      </w:r>
    </w:p>
    <w:p>
      <w:pPr>
        <w:spacing w:after="200"/>
      </w:pPr>
      <w:r>
        <w:rPr>
          <w:i/>
          <w:iCs/>
        </w:rPr>
        <w:t xml:space="preserve">This setup step is easy to skip over mentally, but it matters for a practical reason: a virtual environment means the specific versions of LangGraph and LangChain used in a tutorial or project stay pinned and reproducible. Both libraries move quickly and their APIs shift between versions, so a project that isn't isolated can quietly break weeks later when a dependency updates in the background.</w:t>
      </w:r>
    </w:p>
    <w:p>
      <w:pPr>
        <w:pStyle w:val="Heading1"/>
      </w:pPr>
      <w:r>
        <w:t xml:space="preserve">2. Starting Simple: A Non-LLM BMI Calculator</w:t>
      </w:r>
    </w:p>
    <w:p>
      <w:pPr>
        <w:spacing w:after="200"/>
      </w:pPr>
      <w:r>
        <w:t xml:space="preserve">Rather than introducing a language model on day one, the first real example is deliberately simple: a workflow that takes a person's height and weight as input and calculates their BMI — no LLM involved at all. This example exists purely to teach the three foundational building blocks of any LangGraph workflow:</w:t>
      </w:r>
    </w:p>
    <w:p>
      <w:pPr>
        <w:pStyle w:val="ListParagraph"/>
        <w:numPr>
          <w:ilvl w:val="0"/>
          <w:numId w:val="2"/>
        </w:numPr>
        <w:spacing w:after="120"/>
      </w:pPr>
      <w:r>
        <w:rPr>
          <w:b/>
          <w:bCs/>
        </w:rPr>
        <w:t xml:space="preserve">State definition — </w:t>
      </w:r>
      <w:r>
        <w:t xml:space="preserve">declaring the shape of the data that will flow through the graph — in this case, just height, weight, and the calculated result.</w:t>
      </w:r>
    </w:p>
    <w:p>
      <w:pPr>
        <w:pStyle w:val="ListParagraph"/>
        <w:numPr>
          <w:ilvl w:val="0"/>
          <w:numId w:val="2"/>
        </w:numPr>
        <w:spacing w:after="120"/>
      </w:pPr>
      <w:r>
        <w:rPr>
          <w:b/>
          <w:bCs/>
        </w:rPr>
        <w:t xml:space="preserve">Node creation — </w:t>
      </w:r>
      <w:r>
        <w:t xml:space="preserve">writing the function that does the actual work — here, the arithmetic that turns height and weight into a BMI value.</w:t>
      </w:r>
    </w:p>
    <w:p>
      <w:pPr>
        <w:pStyle w:val="ListParagraph"/>
        <w:numPr>
          <w:ilvl w:val="0"/>
          <w:numId w:val="2"/>
        </w:numPr>
        <w:spacing w:after="120"/>
      </w:pPr>
      <w:r>
        <w:rPr>
          <w:b/>
          <w:bCs/>
        </w:rPr>
        <w:t xml:space="preserve">Edge linking — </w:t>
      </w:r>
      <w:r>
        <w:t xml:space="preserve">connecting nodes together so the graph knows what runs after what, even in a workflow with only one or two steps.</w:t>
      </w:r>
    </w:p>
    <w:p>
      <w:pPr>
        <w:spacing w:after="200"/>
      </w:pPr>
      <w:r>
        <w:rPr>
          <w:i/>
          <w:iCs/>
        </w:rPr>
        <w:t xml:space="preserve">This is a genuinely effective teaching choice: it isolates the graph mechanics from the added complexity of prompting, model responses, and non-determinism. Anyone who understands this example understands the skeleton of every LangGraph workflow that follows — the LLM is really just what gets plugged into a node later, not a separate paradigm to learn from scratch.</w:t>
      </w:r>
    </w:p>
    <w:p>
      <w:pPr>
        <w:pStyle w:val="Heading1"/>
      </w:pPr>
      <w:r>
        <w:t xml:space="preserve">3. Introducing the LLM: A Simple Q&amp;A Agent</w:t>
      </w:r>
    </w:p>
    <w:p>
      <w:pPr>
        <w:spacing w:after="200"/>
      </w:pPr>
      <w:r>
        <w:t xml:space="preserve">With the core mechanics established, the tutorial introduces a language model for the first time by building a basic question-and-answer agent. A question comes in, a node passes it to an LLM, and the model's response is written back into the graph's shared state — the same state mechanism used in the BMI example, just now holding a question and an answer instead of height and weight.</w:t>
      </w:r>
    </w:p>
    <w:p>
      <w:pPr>
        <w:spacing w:after="200"/>
      </w:pPr>
      <w:r>
        <w:rPr>
          <w:i/>
          <w:iCs/>
        </w:rPr>
        <w:t xml:space="preserve">The instructive part here is what doesn't change: the node still takes some input from state, does something with it, and writes a result back to state. Swapping arithmetic for an LLM call doesn't require learning a new mental model — it's the same node-and-state pattern with a different kind of computation inside the node. That consistency is really the whole value proposition of building on top of a graph framework rather than hand-rolling control flow.</w:t>
      </w:r>
    </w:p>
    <w:p>
      <w:pPr>
        <w:pStyle w:val="Heading1"/>
      </w:pPr>
      <w:r>
        <w:t xml:space="preserve">4. Prompt Chaining in Practice: Outline to Blog Post</w:t>
      </w:r>
    </w:p>
    <w:p>
      <w:pPr>
        <w:spacing w:after="200"/>
      </w:pPr>
      <w:r>
        <w:t xml:space="preserve">The final and most substantial example chains two LLM calls together to write a blog post. Given a topic, the first node calls the LLM to produce a structured outline. That outline — not the original topic alone — is then handed to a second node, which calls the LLM again to expand it into a full blog post.</w:t>
      </w:r>
    </w:p>
    <w:p>
      <w:pPr>
        <w:spacing w:after="200"/>
      </w:pPr>
      <w:r>
        <w:rPr>
          <w:i/>
          <w:iCs/>
        </w:rPr>
        <w:t xml:space="preserve">This is where persistent state stops being a nice-to-have and becomes the thing that makes the workflow possible at all. The second node's prompt is built directly from the first node's output, which means the outline has to survive between node executions. If state weren't shared and persistent across the whole graph, the second call would have no way to know what outline it's supposed to expand — it would need the outline stuffed manually into its own prompt every time, which is exactly the kind of glue code that graph-based state management is meant to eliminate.</w:t>
      </w:r>
    </w:p>
    <w:p>
      <w:pPr>
        <w:pStyle w:val="Heading1"/>
      </w:pPr>
      <w:r>
        <w:t xml:space="preserve">How the Three Examples Build on Each Other</w:t>
      </w:r>
    </w:p>
    <w:tbl>
      <w:tblPr>
        <w:tblW w:type="dxa" w:w="9100"/>
        <w:tblBorders>
          <w:top w:val="single" w:color="AAAAAA" w:sz="4"/>
          <w:left w:val="single" w:color="AAAAAA" w:sz="4"/>
          <w:bottom w:val="single" w:color="AAAAAA" w:sz="4"/>
          <w:right w:val="single" w:color="AAAAAA" w:sz="4"/>
          <w:insideH w:val="single" w:color="AAAAAA" w:sz="4"/>
          <w:insideV w:val="single" w:color="AAAAAA" w:sz="4"/>
        </w:tblBorders>
      </w:tblPr>
      <w:tblGrid>
        <w:gridCol w:w="2000"/>
        <w:gridCol w:w="3400"/>
        <w:gridCol w:w="3700"/>
      </w:tblGrid>
      <w:tr>
        <w:trPr>
          <w:tblHeader/>
        </w:trPr>
        <w:tc>
          <w:tcPr>
            <w:tcW w:type="dxa" w:w="2000"/>
            <w:shd w:fill="2F5496" w:val="clear"/>
            <w:tcMar>
              <w:top w:type="dxa" w:w="100"/>
              <w:left w:type="dxa" w:w="120"/>
              <w:bottom w:type="dxa" w:w="100"/>
              <w:right w:type="dxa" w:w="120"/>
            </w:tcMar>
          </w:tcPr>
          <w:p>
            <w:r>
              <w:rPr>
                <w:b/>
                <w:bCs/>
                <w:color w:val="FFFFFF"/>
              </w:rPr>
              <w:t xml:space="preserve">Example</w:t>
            </w:r>
          </w:p>
        </w:tc>
        <w:tc>
          <w:tcPr>
            <w:tcW w:type="dxa" w:w="3400"/>
            <w:shd w:fill="2F5496" w:val="clear"/>
            <w:tcMar>
              <w:top w:type="dxa" w:w="100"/>
              <w:left w:type="dxa" w:w="120"/>
              <w:bottom w:type="dxa" w:w="100"/>
              <w:right w:type="dxa" w:w="120"/>
            </w:tcMar>
          </w:tcPr>
          <w:p>
            <w:r>
              <w:rPr>
                <w:b/>
                <w:bCs/>
                <w:color w:val="FFFFFF"/>
              </w:rPr>
              <w:t xml:space="preserve">What It Introduces</w:t>
            </w:r>
          </w:p>
        </w:tc>
        <w:tc>
          <w:tcPr>
            <w:tcW w:type="dxa" w:w="3700"/>
            <w:shd w:fill="2F5496" w:val="clear"/>
            <w:tcMar>
              <w:top w:type="dxa" w:w="100"/>
              <w:left w:type="dxa" w:w="120"/>
              <w:bottom w:type="dxa" w:w="100"/>
              <w:right w:type="dxa" w:w="120"/>
            </w:tcMar>
          </w:tcPr>
          <w:p>
            <w:r>
              <w:rPr>
                <w:b/>
                <w:bCs/>
                <w:color w:val="FFFFFF"/>
              </w:rPr>
              <w:t xml:space="preserve">Why It's a Good Teaching Step</w:t>
            </w:r>
          </w:p>
        </w:tc>
      </w:tr>
      <w:tr>
        <w:tc>
          <w:tcPr>
            <w:tcW w:type="dxa" w:w="2000"/>
            <w:tcMar>
              <w:top w:type="dxa" w:w="100"/>
              <w:left w:type="dxa" w:w="120"/>
              <w:bottom w:type="dxa" w:w="100"/>
              <w:right w:type="dxa" w:w="120"/>
            </w:tcMar>
          </w:tcPr>
          <w:p>
            <w:r>
              <w:rPr>
                <w:b/>
                <w:bCs/>
              </w:rPr>
              <w:t xml:space="preserve">BMI Calculator</w:t>
            </w:r>
          </w:p>
        </w:tc>
        <w:tc>
          <w:tcPr>
            <w:tcW w:type="dxa" w:w="3400"/>
            <w:tcMar>
              <w:top w:type="dxa" w:w="100"/>
              <w:left w:type="dxa" w:w="120"/>
              <w:bottom w:type="dxa" w:w="100"/>
              <w:right w:type="dxa" w:w="120"/>
            </w:tcMar>
          </w:tcPr>
          <w:p>
            <w:r>
              <w:rPr>
                <w:b w:val="false"/>
                <w:bCs w:val="false"/>
              </w:rPr>
              <w:t xml:space="preserve">State definition, node creation, edge linking — with plain arithmetic, no LLM involved.</w:t>
            </w:r>
          </w:p>
        </w:tc>
        <w:tc>
          <w:tcPr>
            <w:tcW w:type="dxa" w:w="3700"/>
            <w:tcMar>
              <w:top w:type="dxa" w:w="100"/>
              <w:left w:type="dxa" w:w="120"/>
              <w:bottom w:type="dxa" w:w="100"/>
              <w:right w:type="dxa" w:w="120"/>
            </w:tcMar>
          </w:tcPr>
          <w:p>
            <w:r>
              <w:rPr>
                <w:b w:val="false"/>
                <w:bCs w:val="false"/>
              </w:rPr>
              <w:t xml:space="preserve">Removes the LLM as a variable entirely, so the only new thing to learn is the graph mechanics themselves.</w:t>
            </w:r>
          </w:p>
        </w:tc>
      </w:tr>
      <w:tr>
        <w:tc>
          <w:tcPr>
            <w:tcW w:type="dxa" w:w="2000"/>
            <w:tcMar>
              <w:top w:type="dxa" w:w="100"/>
              <w:left w:type="dxa" w:w="120"/>
              <w:bottom w:type="dxa" w:w="100"/>
              <w:right w:type="dxa" w:w="120"/>
            </w:tcMar>
          </w:tcPr>
          <w:p>
            <w:r>
              <w:rPr>
                <w:b/>
                <w:bCs/>
              </w:rPr>
              <w:t xml:space="preserve">Simple Q&amp;A Agent</w:t>
            </w:r>
          </w:p>
        </w:tc>
        <w:tc>
          <w:tcPr>
            <w:tcW w:type="dxa" w:w="3400"/>
            <w:tcMar>
              <w:top w:type="dxa" w:w="100"/>
              <w:left w:type="dxa" w:w="120"/>
              <w:bottom w:type="dxa" w:w="100"/>
              <w:right w:type="dxa" w:w="120"/>
            </w:tcMar>
          </w:tcPr>
          <w:p>
            <w:r>
              <w:rPr>
                <w:b w:val="false"/>
                <w:bCs w:val="false"/>
              </w:rPr>
              <w:t xml:space="preserve">A single LLM call wired into a node, with the response written into shared state.</w:t>
            </w:r>
          </w:p>
        </w:tc>
        <w:tc>
          <w:tcPr>
            <w:tcW w:type="dxa" w:w="3700"/>
            <w:tcMar>
              <w:top w:type="dxa" w:w="100"/>
              <w:left w:type="dxa" w:w="120"/>
              <w:bottom w:type="dxa" w:w="100"/>
              <w:right w:type="dxa" w:w="120"/>
            </w:tcMar>
          </w:tcPr>
          <w:p>
            <w:r>
              <w:rPr>
                <w:b w:val="false"/>
                <w:bCs w:val="false"/>
              </w:rPr>
              <w:t xml:space="preserve">Introduces exactly one new moving part — the model call — on top of graph mechanics already learned.</w:t>
            </w:r>
          </w:p>
        </w:tc>
      </w:tr>
      <w:tr>
        <w:tc>
          <w:tcPr>
            <w:tcW w:type="dxa" w:w="2000"/>
            <w:tcMar>
              <w:top w:type="dxa" w:w="100"/>
              <w:left w:type="dxa" w:w="120"/>
              <w:bottom w:type="dxa" w:w="100"/>
              <w:right w:type="dxa" w:w="120"/>
            </w:tcMar>
          </w:tcPr>
          <w:p>
            <w:r>
              <w:rPr>
                <w:b/>
                <w:bCs/>
              </w:rPr>
              <w:t xml:space="preserve">Blog Outline → Blog Post</w:t>
            </w:r>
          </w:p>
        </w:tc>
        <w:tc>
          <w:tcPr>
            <w:tcW w:type="dxa" w:w="3400"/>
            <w:tcMar>
              <w:top w:type="dxa" w:w="100"/>
              <w:left w:type="dxa" w:w="120"/>
              <w:bottom w:type="dxa" w:w="100"/>
              <w:right w:type="dxa" w:w="120"/>
            </w:tcMar>
          </w:tcPr>
          <w:p>
            <w:r>
              <w:rPr>
                <w:b w:val="false"/>
                <w:bCs w:val="false"/>
              </w:rPr>
              <w:t xml:space="preserve">Two chained LLM calls, where the second call's prompt depends on the first call's output stored in state.</w:t>
            </w:r>
          </w:p>
        </w:tc>
        <w:tc>
          <w:tcPr>
            <w:tcW w:type="dxa" w:w="3700"/>
            <w:tcMar>
              <w:top w:type="dxa" w:w="100"/>
              <w:left w:type="dxa" w:w="120"/>
              <w:bottom w:type="dxa" w:w="100"/>
              <w:right w:type="dxa" w:w="120"/>
            </w:tcMar>
          </w:tcPr>
          <w:p>
            <w:r>
              <w:rPr>
                <w:b w:val="false"/>
                <w:bCs w:val="false"/>
              </w:rPr>
              <w:t xml:space="preserve">Shows why persistent state matters: the second node couldn't do its job at all without reading what the first node wrote.</w:t>
            </w:r>
          </w:p>
        </w:tc>
      </w:tr>
    </w:tbl>
    <w:p>
      <w:pPr>
        <w:pStyle w:val="Heading1"/>
        <w:spacing w:before="300"/>
      </w:pPr>
      <w:r>
        <w:t xml:space="preserve">Overall Takeaway</w:t>
      </w:r>
    </w:p>
    <w:p>
      <w:pPr>
        <w:spacing w:after="200"/>
      </w:pPr>
      <w:r>
        <w:rPr>
          <w:i/>
          <w:iCs/>
        </w:rPr>
        <w:t xml:space="preserve">The progression across these three examples is deliberate: start with a workflow that has no AI in it at all so the graph mechanics can be learned in isolation, then add a single LLM call so exactly one new concept is introduced at a time, then finally chain two LLM calls together so the necessity of shared, persistent state becomes obvious rather than abstract. By the time a builder reaches multi-step, branching, or looping workflows, they're really just applying the same three ingredients — state, nodes, and edges — at greater scale, not learning a new framework from scratch.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2026-07-07T12:05:10.466Z</dcterms:created>
  <dcterms:modified xsi:type="dcterms:W3CDTF">2026-07-07T12:05:10.482Z</dcterms:modified>
</cp:coreProperties>
</file>

<file path=docProps/custom.xml><?xml version="1.0" encoding="utf-8"?>
<Properties xmlns="http://schemas.openxmlformats.org/officeDocument/2006/custom-properties" xmlns:vt="http://schemas.openxmlformats.org/officeDocument/2006/docPropsVTypes"/>
</file>