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Generative AI in 2025: A Detailed Roadmap</w:t>
      </w:r>
    </w:p>
    <w:p>
      <w:pPr>
        <w:spacing w:after="240"/>
      </w:pPr>
      <w:r>
        <w:rPr>
          <w:i/>
          <w:iCs/>
          <w:color w:val="555555"/>
        </w:rPr>
        <w:t xml:space="preserve">Based on a CampusX video by Nitish, this document is a detailed breakdown of his roadmap for learning Generative AI in 2025.</w:t>
      </w:r>
    </w:p>
    <w:p>
      <w:pPr>
        <w:pBdr>
          <w:bottom w:val="single" w:color="2E75B6" w:sz="6" w:space="1"/>
        </w:pBdr>
        <w:spacing w:after="240"/>
      </w:pPr>
      <w:r>
        <w:t xml:space="preserve"/>
      </w:r>
    </w:p>
    <w:p>
      <w:pPr>
        <w:pStyle w:val="Heading2"/>
      </w:pPr>
      <w:r>
        <w:t xml:space="preserve">Defining Generative AI</w:t>
      </w:r>
    </w:p>
    <w:p>
      <w:pPr>
        <w:spacing w:after="160"/>
      </w:pPr>
      <w:r>
        <w:t xml:space="preserve">Nitish frames GenAI as a subset of artificial intelligence whose defining trait is creation rather than classification or prediction. Traditional ML models typically analyze existing data to make a decision, such as identifying spam emails or predicting house prices. Generative models instead learn the underlying patterns, structure, and style of huge datasets, then use that learned understanding to produce new content that did not exist before, whether that is a paragraph of text, an image, a snippet of code, or even audio.</w:t>
      </w:r>
    </w:p>
    <w:p>
      <w:pPr>
        <w:spacing w:after="160"/>
      </w:pPr>
      <w:r>
        <w:t xml:space="preserve">The “mimicking human creativity” framing matters because it explains why these models feel qualitatively different from older AI: they are not just sorting information, they are generating it.</w:t>
      </w:r>
    </w:p>
    <w:p>
      <w:pPr>
        <w:pStyle w:val="Heading2"/>
      </w:pPr>
      <w:r>
        <w:t xml:space="preserve">The Four Impact Areas</w:t>
      </w:r>
    </w:p>
    <w:p>
      <w:pPr>
        <w:spacing w:after="160"/>
      </w:pPr>
      <w:r>
        <w:t xml:space="preserve">Nitish highlights four industries where GenAI is already causing visible disruption, not just theoretical potential:</w:t>
      </w:r>
    </w:p>
    <w:p>
      <w:pPr>
        <w:pStyle w:val="ListParagraph"/>
        <w:numPr>
          <w:ilvl w:val="0"/>
          <w:numId w:val="2"/>
        </w:numPr>
        <w:spacing w:after="120"/>
      </w:pPr>
      <w:r>
        <w:rPr>
          <w:b/>
          <w:bCs/>
        </w:rPr>
        <w:t xml:space="preserve">Customer Support –</w:t>
      </w:r>
      <w:r>
        <w:t xml:space="preserve"> chatbots and AI agents handling queries that once required human agents, often reducing response time and cost.</w:t>
      </w:r>
    </w:p>
    <w:p>
      <w:pPr>
        <w:pStyle w:val="ListParagraph"/>
        <w:numPr>
          <w:ilvl w:val="0"/>
          <w:numId w:val="2"/>
        </w:numPr>
        <w:spacing w:after="120"/>
      </w:pPr>
      <w:r>
        <w:rPr>
          <w:b/>
          <w:bCs/>
        </w:rPr>
        <w:t xml:space="preserve">Content Creation –</w:t>
      </w:r>
      <w:r>
        <w:t xml:space="preserve"> writing, design, and marketing material generated or assisted by tools like ChatGPT and Midjourney.</w:t>
      </w:r>
    </w:p>
    <w:p>
      <w:pPr>
        <w:pStyle w:val="ListParagraph"/>
        <w:numPr>
          <w:ilvl w:val="0"/>
          <w:numId w:val="2"/>
        </w:numPr>
        <w:spacing w:after="120"/>
      </w:pPr>
      <w:r>
        <w:rPr>
          <w:b/>
          <w:bCs/>
        </w:rPr>
        <w:t xml:space="preserve">Education –</w:t>
      </w:r>
      <w:r>
        <w:t xml:space="preserve"> personalized tutoring, automated explanations, and content tailored to a learner’s pace.</w:t>
      </w:r>
    </w:p>
    <w:p>
      <w:pPr>
        <w:pStyle w:val="ListParagraph"/>
        <w:numPr>
          <w:ilvl w:val="0"/>
          <w:numId w:val="2"/>
        </w:numPr>
        <w:spacing w:after="120"/>
      </w:pPr>
      <w:r>
        <w:rPr>
          <w:b/>
          <w:bCs/>
        </w:rPr>
        <w:t xml:space="preserve">Software Development –</w:t>
      </w:r>
      <w:r>
        <w:t xml:space="preserve"> AI pair-programmers, such as GitHub Copilot, that write, debug, and explain code.</w:t>
      </w:r>
    </w:p>
    <w:p>
      <w:pPr>
        <w:spacing w:after="160"/>
      </w:pPr>
      <w:r>
        <w:t xml:space="preserve">The point of this section is not just that AI is interesting, it is to justify urgency: these are real jobs and workflows changing right now, which is why the roadmap matters.</w:t>
      </w:r>
    </w:p>
    <w:p>
      <w:pPr>
        <w:pStyle w:val="Heading2"/>
      </w:pPr>
      <w:r>
        <w:t xml:space="preserve">The Mental Model: Foundation Models at the Center</w:t>
      </w:r>
    </w:p>
    <w:p>
      <w:pPr>
        <w:spacing w:after="160"/>
      </w:pPr>
      <w:r>
        <w:t xml:space="preserve">This is the structural core of the video. Nitish argues that almost everything in GenAI today branches out from Foundation Models, which are large pre-trained models such as LLMs (GPT, Llama, Gemini) trained on massive datasets to develop broad, general-purpose capabilities. Instead of treating prompt engineering, fine-tuning, RAG, and agents as a disorganized pile of buzzwords, he organizes them as two branches stemming from this single root concept, which is what makes the field feel navigable instead of overwhelming.</w:t>
      </w:r>
    </w:p>
    <w:p>
      <w:pPr>
        <w:pStyle w:val="Heading2"/>
      </w:pPr>
      <w:r>
        <w:t xml:space="preserve">Branch 1: The Builder’s Perspective</w:t>
      </w:r>
    </w:p>
    <w:p>
      <w:pPr>
        <w:spacing w:after="160"/>
      </w:pPr>
      <w:r>
        <w:t xml:space="preserve">This path is for people who want to understand or contribute to creating the foundation models themselves. It requires deeper technical and mathematical grounding, covering:</w:t>
      </w:r>
    </w:p>
    <w:p>
      <w:pPr>
        <w:pStyle w:val="ListParagraph"/>
        <w:numPr>
          <w:ilvl w:val="0"/>
          <w:numId w:val="2"/>
        </w:numPr>
        <w:spacing w:after="120"/>
      </w:pPr>
      <w:r>
        <w:rPr>
          <w:b/>
          <w:bCs/>
        </w:rPr>
        <w:t xml:space="preserve">Transformer architecture –</w:t>
      </w:r>
      <w:r>
        <w:t xml:space="preserve"> the neural network design, including attention mechanisms and encoders/decoders, underlying nearly all modern LLMs.</w:t>
      </w:r>
    </w:p>
    <w:p>
      <w:pPr>
        <w:pStyle w:val="ListParagraph"/>
        <w:numPr>
          <w:ilvl w:val="0"/>
          <w:numId w:val="2"/>
        </w:numPr>
        <w:spacing w:after="120"/>
      </w:pPr>
      <w:r>
        <w:rPr>
          <w:b/>
          <w:bCs/>
        </w:rPr>
        <w:t xml:space="preserve">Pre-training –</w:t>
      </w:r>
      <w:r>
        <w:t xml:space="preserve"> how a model learns general language and world patterns from enormous, mostly unlabeled datasets.</w:t>
      </w:r>
    </w:p>
    <w:p>
      <w:pPr>
        <w:pStyle w:val="ListParagraph"/>
        <w:numPr>
          <w:ilvl w:val="0"/>
          <w:numId w:val="2"/>
        </w:numPr>
        <w:spacing w:after="120"/>
      </w:pPr>
      <w:r>
        <w:rPr>
          <w:b/>
          <w:bCs/>
        </w:rPr>
        <w:t xml:space="preserve">Fine-tuning –</w:t>
      </w:r>
      <w:r>
        <w:t xml:space="preserve"> adapting a pre-trained model to specific tasks or domains using smaller, targeted datasets.</w:t>
      </w:r>
    </w:p>
    <w:p>
      <w:pPr>
        <w:pStyle w:val="ListParagraph"/>
        <w:numPr>
          <w:ilvl w:val="0"/>
          <w:numId w:val="2"/>
        </w:numPr>
        <w:spacing w:after="120"/>
      </w:pPr>
      <w:r>
        <w:rPr>
          <w:b/>
          <w:bCs/>
        </w:rPr>
        <w:t xml:space="preserve">Deployment –</w:t>
      </w:r>
      <w:r>
        <w:t xml:space="preserve"> the engineering work of serving these massive models efficiently and reliably at scale.</w:t>
      </w:r>
    </w:p>
    <w:p>
      <w:pPr>
        <w:spacing w:after="160"/>
      </w:pPr>
      <w:r>
        <w:t xml:space="preserve">This path suits people aiming for research roles or deep ML engineering positions at companies building their own models.</w:t>
      </w:r>
    </w:p>
    <w:p>
      <w:pPr>
        <w:pStyle w:val="Heading2"/>
      </w:pPr>
      <w:r>
        <w:t xml:space="preserve">Branch 2: The User’s Perspective</w:t>
      </w:r>
    </w:p>
    <w:p>
      <w:pPr>
        <w:spacing w:after="160"/>
      </w:pPr>
      <w:r>
        <w:t xml:space="preserve">This path is for people who want to build practical applications on top of models that already exist, without needing to train one from scratch. It covers:</w:t>
      </w:r>
    </w:p>
    <w:p>
      <w:pPr>
        <w:pStyle w:val="ListParagraph"/>
        <w:numPr>
          <w:ilvl w:val="0"/>
          <w:numId w:val="2"/>
        </w:numPr>
        <w:spacing w:after="120"/>
      </w:pPr>
      <w:r>
        <w:rPr>
          <w:b/>
          <w:bCs/>
        </w:rPr>
        <w:t xml:space="preserve">Prompt engineering –</w:t>
      </w:r>
      <w:r>
        <w:t xml:space="preserve"> crafting inputs that reliably get useful outputs from an LLM.</w:t>
      </w:r>
    </w:p>
    <w:p>
      <w:pPr>
        <w:pStyle w:val="ListParagraph"/>
        <w:numPr>
          <w:ilvl w:val="0"/>
          <w:numId w:val="2"/>
        </w:numPr>
        <w:spacing w:after="120"/>
      </w:pPr>
      <w:r>
        <w:rPr>
          <w:b/>
          <w:bCs/>
        </w:rPr>
        <w:t xml:space="preserve">RAG (Retrieval-Augmented Generation) –</w:t>
      </w:r>
      <w:r>
        <w:t xml:space="preserve"> connecting an LLM to external knowledge sources, such as databases or documents, so it can answer with up-to-date or domain-specific information instead of relying only on what it learned during training.</w:t>
      </w:r>
    </w:p>
    <w:p>
      <w:pPr>
        <w:pStyle w:val="ListParagraph"/>
        <w:numPr>
          <w:ilvl w:val="0"/>
          <w:numId w:val="2"/>
        </w:numPr>
        <w:spacing w:after="120"/>
      </w:pPr>
      <w:r>
        <w:rPr>
          <w:b/>
          <w:bCs/>
        </w:rPr>
        <w:t xml:space="preserve">AI Agents –</w:t>
      </w:r>
      <w:r>
        <w:t xml:space="preserve"> systems where an LLM does not just answer once but can plan, use tools, and take multi-step actions autonomously.</w:t>
      </w:r>
    </w:p>
    <w:p>
      <w:pPr>
        <w:pStyle w:val="ListParagraph"/>
        <w:numPr>
          <w:ilvl w:val="0"/>
          <w:numId w:val="2"/>
        </w:numPr>
        <w:spacing w:after="120"/>
      </w:pPr>
      <w:r>
        <w:rPr>
          <w:b/>
          <w:bCs/>
        </w:rPr>
        <w:t xml:space="preserve">LLMOps –</w:t>
      </w:r>
      <w:r>
        <w:t xml:space="preserve"> the operational side of running LLM-based applications in production, including monitoring, cost management, versioning, and evaluation.</w:t>
      </w:r>
    </w:p>
    <w:p>
      <w:pPr>
        <w:spacing w:after="160"/>
      </w:pPr>
      <w:r>
        <w:t xml:space="preserve">This path is more accessible to most software developers since it does not require deep ML theory, just solid engineering plus an understanding of how to work with these models effectively.</w:t>
      </w:r>
    </w:p>
    <w:p>
      <w:pPr>
        <w:pStyle w:val="Heading2"/>
      </w:pPr>
      <w:r>
        <w:t xml:space="preserve">Why Learn Both?</w:t>
      </w:r>
    </w:p>
    <w:p>
      <w:pPr>
        <w:spacing w:after="160"/>
      </w:pPr>
      <w:r>
        <w:t xml:space="preserve">His argument is essentially about depth versus breadth. A developer can ship a RAG-based chatbot purely from the User side without knowing how transformers work internally. But understanding the Builder side, even at a conceptual level, helps you make better architectural decisions, debug subtle model behavior, and stand out as a more capable AI Engineer rather than someone who just calls APIs. It is a differentiation argument: lots of people will learn prompting; fewer will understand the model internals, and that gap becomes a competitive advantage.</w:t>
      </w:r>
    </w:p>
    <w:p>
      <w:pPr>
        <w:pStyle w:val="Heading2"/>
      </w:pPr>
      <w:r>
        <w:t xml:space="preserve">Future Plans: Course Strategy and Commitment</w:t>
      </w:r>
    </w:p>
    <w:p>
      <w:pPr>
        <w:spacing w:after="160"/>
      </w:pPr>
      <w:r>
        <w:t xml:space="preserve">Rather than building one long, comprehensive course, which risks becoming outdated given how fast GenAI evolves, CampusX will release shorter, focused YouTube playlists. This lets them update content incrementally as new techniques and tools emerge, instead of needing a full course overhaul.</w:t>
      </w:r>
    </w:p>
    <w:p>
      <w:pPr>
        <w:spacing w:after="160"/>
      </w:pPr>
      <w:r>
        <w:t xml:space="preserve">Nitish commits to running both the Builder and User tracks in parallel throughout the year, so learners are not forced to pick one track and ignore the other from the start.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2026-06-17T11:15:06.115Z</dcterms:created>
  <dcterms:modified xsi:type="dcterms:W3CDTF">2026-06-17T11:15:06.115Z</dcterms:modified>
</cp:coreProperties>
</file>

<file path=docProps/custom.xml><?xml version="1.0" encoding="utf-8"?>
<Properties xmlns="http://schemas.openxmlformats.org/officeDocument/2006/custom-properties" xmlns:vt="http://schemas.openxmlformats.org/officeDocument/2006/docPropsVTypes"/>
</file>