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Requirements Specification (SRS)</w:t>
      </w:r>
    </w:p>
    <w:p>
      <w:pPr>
        <w:jc w:val="center"/>
      </w:pPr>
      <w:r>
        <w:rPr>
          <w:b/>
        </w:rPr>
        <w:t>Product: Automotive Battery Control Unit (BCU-800V)</w:t>
        <w:br/>
      </w:r>
      <w:r>
        <w:t>Document Ref: SRS-AUT-BCU-800V | Revision: 3.2 | Status: Released</w:t>
        <w:br/>
      </w:r>
      <w:r>
        <w:t>System Architecture: 800V Silicon-Carbide EV Platform</w:t>
        <w:br/>
      </w:r>
      <w:r>
        <w:t>Applicable Standards: ISO 26262 (ASIL D), ISO 6469-3, UN ECE R100, ISO 21434, IEC 60529</w:t>
        <w:br/>
      </w:r>
    </w:p>
    <w:p>
      <w:pPr>
        <w:pStyle w:val="Heading1"/>
      </w:pPr>
      <w:r>
        <w:t>1. Purpose and System Architecture Overview</w:t>
      </w:r>
    </w:p>
    <w:p>
      <w:r>
        <w:t>The BCU-800V is an automotive safety-critical Electronic Control Unit (ECU) responsible for monitoring, state estimation, contactor sequencing, thermal supervision, and high-voltage isolation of the 800V traction battery system. This specification defines all mandatory electrical, safety, environmental, and cybersecurity requirements for vehicle type approval.</w:t>
      </w:r>
    </w:p>
    <w:p>
      <w:pPr>
        <w:pStyle w:val="Heading1"/>
      </w:pPr>
      <w:r>
        <w:t>2. Technical Requirements Register</w:t>
      </w:r>
    </w:p>
    <w:p>
      <w:r>
        <w:rPr>
          <w:b/>
        </w:rPr>
        <w:t>REQ-BCU-001: High Voltage Pack Nominal Operating Range</w:t>
        <w:br/>
      </w:r>
      <w:r>
        <w:t>Severity: Critical | Category: Electrical</w:t>
        <w:br/>
      </w:r>
      <w:r>
        <w:t>The BCU shall monitor and regulate high-voltage traction packs operating from 400.0 V DC to 800.0 V DC under all standard driving and fast-charging conditions.</w:t>
        <w:br/>
      </w:r>
    </w:p>
    <w:p>
      <w:r>
        <w:rPr>
          <w:b/>
        </w:rPr>
        <w:t>REQ-BCU-002: Continuous Discharge Current Monitoring</w:t>
        <w:br/>
      </w:r>
      <w:r>
        <w:t>Severity: High | Category: Electrical</w:t>
        <w:br/>
      </w:r>
      <w:r>
        <w:t>The primary current shunt sensing stage shall accurately measure continuous discharge currents up to 350.0 A with maximum error &lt;= 0.5% full-scale.</w:t>
        <w:br/>
      </w:r>
    </w:p>
    <w:p>
      <w:r>
        <w:rPr>
          <w:b/>
        </w:rPr>
        <w:t>REQ-BCU-003: Galvanic High-Voltage Isolation Barrier</w:t>
        <w:br/>
      </w:r>
      <w:r>
        <w:t>Severity: Critical | Category: Safety</w:t>
        <w:br/>
      </w:r>
      <w:r>
        <w:t>The galvanic isolation barrier between high-voltage traction circuitry and 12V low-voltage logic domain shall withstand 2.5 kV AC RMS for 60 seconds with leakage current &lt; 1.0 mA.</w:t>
        <w:br/>
      </w:r>
    </w:p>
    <w:p>
      <w:r>
        <w:rPr>
          <w:b/>
        </w:rPr>
        <w:t>REQ-BCU-004: CAN-FD Telemetry Communication Rate</w:t>
        <w:br/>
      </w:r>
      <w:r>
        <w:t>Severity: Medium | Category: Electrical</w:t>
        <w:br/>
      </w:r>
      <w:r>
        <w:t>The powertrain telemetry interface shall support ISO 11898-2 CAN-FD protocol at 5.0 Mbps data phase rate with zero frame errors during full bus load.</w:t>
        <w:br/>
      </w:r>
    </w:p>
    <w:p>
      <w:r>
        <w:rPr>
          <w:b/>
        </w:rPr>
        <w:t>REQ-BCU-005: Quiescent Sleep State Current Draw</w:t>
        <w:br/>
      </w:r>
      <w:r>
        <w:t>Severity: Medium | Category: Electrical</w:t>
        <w:br/>
      </w:r>
      <w:r>
        <w:t>When vehicle ignition is off and BCU enters deep sleep mode, total quiescent current from the 12V auxiliary battery shall not exceed 150.0 uA.</w:t>
        <w:br/>
      </w:r>
    </w:p>
    <w:p>
      <w:r>
        <w:rPr>
          <w:b/>
        </w:rPr>
        <w:t>REQ-BCU-006: Cell Voltage Sensing Measurement Precision</w:t>
        <w:br/>
      </w:r>
      <w:r>
        <w:t>Severity: High | Category: Electrical</w:t>
        <w:br/>
      </w:r>
      <w:r>
        <w:t>Individual battery cell voltage measurement accuracy shall be within +/- 1.5 mV across the entire 2.0 V to 4.5 V cell chemistry operating window.</w:t>
        <w:br/>
      </w:r>
    </w:p>
    <w:p>
      <w:r>
        <w:rPr>
          <w:b/>
        </w:rPr>
        <w:t>REQ-BCU-007: Safe State Contactor De-energization Latency</w:t>
        <w:br/>
      </w:r>
      <w:r>
        <w:t>Severity: Critical | Category: Safety</w:t>
        <w:br/>
      </w:r>
      <w:r>
        <w:t>Upon detection of critical overvoltage or overtemperature fault, the safety supervisor shall open main DC contactors within maximum latency &lt;= 10.0 ms.</w:t>
        <w:br/>
      </w:r>
    </w:p>
    <w:p>
      <w:r>
        <w:rPr>
          <w:b/>
        </w:rPr>
        <w:t>REQ-BCU-008: Ingress Protection Rating IP67</w:t>
        <w:br/>
      </w:r>
      <w:r>
        <w:t>Severity: High | Category: Mechanical</w:t>
        <w:br/>
      </w:r>
      <w:r>
        <w:t>The BCU aluminum die-cast housing and sealed automotive connectors shall satisfy IP67 ingress protection per ISO 20653 / IEC 60529.</w:t>
        <w:br/>
      </w:r>
    </w:p>
    <w:p>
      <w:r>
        <w:rPr>
          <w:b/>
        </w:rPr>
        <w:t>REQ-BCU-009: Pre-Charge Sequence Completion Time</w:t>
        <w:br/>
      </w:r>
      <w:r>
        <w:t>Severity: Medium | Category: Electrical</w:t>
        <w:br/>
      </w:r>
      <w:r>
        <w:t>The DC link pre-charge circuit sequence shall charge inverter DC-link capacitance to 95% of pack voltage within maximum duration &lt;= 200.0 ms.</w:t>
        <w:br/>
      </w:r>
    </w:p>
    <w:p>
      <w:r>
        <w:rPr>
          <w:b/>
        </w:rPr>
        <w:t>REQ-BCU-010: Solid-State Pyro-Fuse Trigger Circuit Latency</w:t>
        <w:br/>
      </w:r>
      <w:r>
        <w:t>Severity: Critical | Category: Safety</w:t>
        <w:br/>
      </w:r>
      <w:r>
        <w:t>In hard short-circuit conditions, the solid-state pyro-fuse ignition circuit shall issue trigger pulse in &lt;= 5.0 microseconds to isolate traction battery.</w:t>
        <w:br/>
      </w:r>
    </w:p>
    <w:p>
      <w:r>
        <w:rPr>
          <w:b/>
        </w:rPr>
        <w:t>REQ-BCU-011: Extended Climatic Operating Temperature</w:t>
        <w:br/>
      </w:r>
      <w:r>
        <w:t>Severity: High | Category: Environmental</w:t>
        <w:br/>
      </w:r>
      <w:r>
        <w:t>The BCU shall maintain full functional performance and sensor accuracy across ambient operating temperature range from -40.0 °C to +85.0 °C.</w:t>
        <w:br/>
      </w:r>
    </w:p>
    <w:p>
      <w:r>
        <w:rPr>
          <w:b/>
        </w:rPr>
        <w:t>REQ-BCU-012: Damp Heat Cyclic Humidity Endurance</w:t>
        <w:br/>
      </w:r>
      <w:r>
        <w:t>Severity: Medium | Category: Environmental</w:t>
        <w:br/>
      </w:r>
      <w:r>
        <w:t>The controller shall withstand damp heat cyclic testing at 95.0% relative humidity and +65.0 °C for a continuous duration of 500.0 hours without insulation degradation.</w:t>
        <w:br/>
      </w:r>
    </w:p>
    <w:p>
      <w:r>
        <w:rPr>
          <w:b/>
        </w:rPr>
        <w:t>REQ-BCU-013: Thermal Runaway Gas Venting Pressure Calculation and Burst Validation</w:t>
        <w:br/>
      </w:r>
      <w:r>
        <w:t>Severity: Critical | Category: Safety</w:t>
        <w:br/>
      </w:r>
      <w:r>
        <w:t>The pack pressure relief membrane must calculate thermal runaway gas release dynamics and demonstrate physical burst opening at pressure &lt;= 300.0 mbar.</w:t>
        <w:br/>
      </w:r>
    </w:p>
    <w:p>
      <w:r>
        <w:rPr>
          <w:b/>
        </w:rPr>
        <w:t>REQ-BCU-014: Tri-Axial Random Vibration Endurance Profile</w:t>
        <w:br/>
      </w:r>
      <w:r>
        <w:t>Severity: High | Category: Mechanical</w:t>
        <w:br/>
      </w:r>
      <w:r>
        <w:t>The unit shall withstand random vibration per ISO 16750-3 across all three orthogonal axes (X, Y, and Z) for 32 hours per axis at 2.8 g RMS.</w:t>
        <w:br/>
      </w:r>
    </w:p>
    <w:p>
      <w:r>
        <w:rPr>
          <w:b/>
        </w:rPr>
        <w:t>REQ-BCU-015: Overcurrent Protection Multi-Tier Inverse Time Curve</w:t>
        <w:br/>
      </w:r>
      <w:r>
        <w:t>Severity: High | Category: Electrical</w:t>
        <w:br/>
      </w:r>
      <w:r>
        <w:t>Overcurrent trip response shall verify the complete multi-tier curve spanning 100.0 A to 500.0 A with programmable inverse-time characteristics.</w:t>
        <w:br/>
      </w:r>
    </w:p>
    <w:p>
      <w:r>
        <w:rPr>
          <w:b/>
        </w:rPr>
        <w:t>REQ-BCU-016: Contact Resistance Degradation After Power Cycling</w:t>
        <w:br/>
      </w:r>
      <w:r>
        <w:t>Severity: Medium | Category: Electrical</w:t>
        <w:br/>
      </w:r>
      <w:r>
        <w:t>Terminal power lug contact resistance shall remain &lt;= 0.20 mOhm after 100,000 power cycles as verified by micro-ohmmeter measurement record.</w:t>
        <w:br/>
      </w:r>
    </w:p>
    <w:p>
      <w:r>
        <w:rPr>
          <w:b/>
        </w:rPr>
        <w:t>REQ-BCU-017: ISO 21434 Hardware Root-of-Trust Secure Boot Signature</w:t>
        <w:br/>
      </w:r>
      <w:r>
        <w:t>Severity: Critical | Category: Cybersecurity</w:t>
        <w:br/>
      </w:r>
      <w:r>
        <w:t>The BCU microcontroller shall enforce secure boot verification with ECDSA P-384 hardware root-of-trust key validation to prevent unauthorized firmware execution.</w:t>
        <w:br/>
      </w:r>
    </w:p>
    <w:p>
      <w:r>
        <w:rPr>
          <w:b/>
        </w:rPr>
        <w:t>REQ-BCU-018: High Voltage Interlock Loop (HVIL) Fast Disconnect Latency</w:t>
        <w:br/>
      </w:r>
      <w:r>
        <w:t>Severity: Critical | Category: Safety</w:t>
        <w:br/>
      </w:r>
      <w:r>
        <w:t>Any break or interruption in the continuous high-voltage interlock loop shall trigger active discharge and contactor opening in &lt;= 5.0 ms.</w:t>
        <w:br/>
      </w:r>
    </w:p>
    <w:p>
      <w:r>
        <w:rPr>
          <w:b/>
        </w:rPr>
        <w:t>REQ-BCU-019: High Altitude Barometric Pressure Operation</w:t>
        <w:br/>
      </w:r>
      <w:r>
        <w:t>Severity: Medium | Category: Environmental</w:t>
        <w:br/>
      </w:r>
      <w:r>
        <w:t>The BCU shall operate without high-voltage corona discharge or thermal overheating at altitudes up to 4000.0 m (61.6 kPa atmospheric pressure).</w:t>
        <w:br/>
      </w:r>
    </w:p>
    <w:p>
      <w:r>
        <w:rPr>
          <w:b/>
        </w:rPr>
        <w:t>REQ-BCU-020: Salt Spray Atmosphere Corrosion Resistance</w:t>
        <w:br/>
      </w:r>
      <w:r>
        <w:t>Severity: Medium | Category: Mechanical</w:t>
        <w:br/>
      </w:r>
      <w:r>
        <w:t>External connectors and housing shall show no galvanic corrosion or pitting after 720.0 hours neutral salt spray test per ASTM B117 / ISO 9227.</w:t>
        <w:br/>
      </w:r>
    </w:p>
    <w:p>
      <w:r>
        <w:rPr>
          <w:b/>
        </w:rPr>
        <w:t>REQ-BCU-021: Radiated RF Electromagnetic Immunity 100 V/m</w:t>
        <w:br/>
      </w:r>
      <w:r>
        <w:t>Severity: High | Category: Electrical</w:t>
        <w:br/>
      </w:r>
      <w:r>
        <w:t>The BCU shall maintain uninterrupted operation during radiated RF field immunity exposure of 100.0 V/m from 200.0 MHz to 2.0 GHz per ISO 11452-2.</w:t>
        <w:br/>
      </w:r>
    </w:p>
    <w:p>
      <w:r>
        <w:rPr>
          <w:b/>
        </w:rPr>
        <w:t>REQ-BCU-022: Mean Time Between Failures Reliability MTBF Target</w:t>
        <w:br/>
      </w:r>
      <w:r>
        <w:t>Severity: Medium | Category: Documentation</w:t>
        <w:br/>
      </w:r>
      <w:r>
        <w:t>Theoretical system reliability MTBF shall exceed 250,000 hours continuous operation at 40°C ambient calculated per Telcordia SR-332 / SN 29500.</w:t>
        <w:br/>
      </w:r>
    </w:p>
    <w:p>
      <w:r>
        <w:rPr>
          <w:b/>
        </w:rPr>
        <w:t>REQ-BCU-023: State of Charge (SOC) Extended Kalman Filter Estimation Accuracy</w:t>
        <w:br/>
      </w:r>
      <w:r>
        <w:t>Severity: High | Category: Documentation</w:t>
        <w:br/>
      </w:r>
      <w:r>
        <w:t>The battery state-of-charge estimator shall maintain SOC tracking drift &lt; 2.0% across dynamic WLTP and US06 drive cycles over 1,000 operating hours.</w:t>
        <w:br/>
      </w:r>
    </w:p>
    <w:p>
      <w:r>
        <w:rPr>
          <w:b/>
        </w:rPr>
        <w:t>REQ-BCU-024: Upper Limit Traction Pack Voltage Rating</w:t>
        <w:br/>
      </w:r>
      <w:r>
        <w:t>Severity: Critical | Category: Electrical</w:t>
        <w:br/>
      </w:r>
      <w:r>
        <w:t>The BCU sensing and isolation design shall operate across 400.0 V DC to 800.0 V DC traction bus voltage envelope.</w:t>
        <w:br/>
      </w:r>
    </w:p>
    <w:p>
      <w:r>
        <w:rPr>
          <w:b/>
        </w:rPr>
        <w:t>REQ-BCU-025: Maximum Ambient Operating Thermal Limit</w:t>
        <w:br/>
      </w:r>
      <w:r>
        <w:t>Severity: High | Category: Environmental</w:t>
        <w:br/>
      </w:r>
      <w:r>
        <w:t>The power electronics stage shall operate up to +85.0 °C ambient temperature under continuous current load.</w:t>
        <w:br/>
      </w:r>
    </w:p>
    <w:p>
      <w:r>
        <w:rPr>
          <w:b/>
        </w:rPr>
        <w:t>REQ-BCU-026: Diagnostic Service Port Access Authentication</w:t>
        <w:br/>
      </w:r>
      <w:r>
        <w:t>Severity: High | Category: Cybersecurity</w:t>
        <w:br/>
      </w:r>
      <w:r>
        <w:t>Unified Diagnostic Services (UDS) over Ethernet shall mandate cryptographic seed-key authentication before permitting flashing or calibration access.</w:t>
        <w:br/>
      </w:r>
    </w:p>
    <w:p>
      <w:r>
        <w:rPr>
          <w:b/>
        </w:rPr>
        <w:t>REQ-BCU-027: Galvanic Isolation vs Ground Architecture</w:t>
        <w:br/>
      </w:r>
      <w:r>
        <w:t>Severity: Critical | Category: Safety</w:t>
        <w:br/>
      </w:r>
      <w:r>
        <w:t>The high-voltage analog measurement sub-circuit shall maintain complete galvanic isolation from the vehicle chassis ground.</w:t>
        <w:br/>
      </w:r>
    </w:p>
    <w:p>
      <w:r>
        <w:rPr>
          <w:b/>
        </w:rPr>
        <w:t>REQ-BCU-028: Active Cell Balancing Discharge Current</w:t>
        <w:br/>
      </w:r>
      <w:r>
        <w:t>Severity: Medium | Category: Electrical</w:t>
        <w:br/>
      </w:r>
      <w:r>
        <w:t>Active cell balancing circuit shall deliver balancing current of 200.0 mA per channel to equalize pack state-of-charge.</w:t>
        <w:br/>
      </w:r>
    </w:p>
    <w:p>
      <w:r>
        <w:rPr>
          <w:b/>
        </w:rPr>
        <w:t>REQ-BCU-029: Electrolyte Leakage Detection Acoustic Impedance Threshold</w:t>
        <w:br/>
      </w:r>
      <w:r>
        <w:t>Severity: High | Category: Safety</w:t>
        <w:br/>
      </w:r>
      <w:r>
        <w:t>The ultrasonic acoustic sensing channel shall flag electrolyte leakage when acoustic signature dampening exceeds 12.0 dB relative to dry baseline.</w:t>
        <w:br/>
      </w:r>
    </w:p>
    <w:p>
      <w:r>
        <w:rPr>
          <w:b/>
        </w:rPr>
        <w:t>REQ-BCU-030: High Voltage Pyro-Switch Minimum Firing Energy</w:t>
        <w:br/>
      </w:r>
      <w:r>
        <w:t>Severity: Critical | Category: Safety</w:t>
        <w:br/>
      </w:r>
      <w:r>
        <w:t>Capacitive firing module shall store minimum 4.5 J energy at 24V booster stage to guarantee single-pulse detonation of the main safety disconnector.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