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Requirements Specification</w:t>
      </w:r>
    </w:p>
    <w:p>
      <w:pPr>
        <w:jc w:val="center"/>
      </w:pPr>
      <w:r>
        <w:rPr>
          <w:b/>
        </w:rPr>
        <w:t>Product: Industrial Controller X200 (Series B)</w:t>
        <w:br/>
      </w:r>
      <w:r>
        <w:t>Document Ref: SRS-2026-X200-EU | Version: 2.4 | Status: Approved</w:t>
        <w:br/>
      </w:r>
      <w:r>
        <w:t>Author: Atlas Motion Systems — Systems Engineering Division</w:t>
        <w:br/>
      </w:r>
      <w:r>
        <w:t>Applicable Directives: 2014/30/EU (EMC), 2014/35/EU (LVD), 2006/42/EC (Machinery)</w:t>
        <w:br/>
      </w:r>
    </w:p>
    <w:p>
      <w:pPr>
        <w:pStyle w:val="Heading1"/>
      </w:pPr>
      <w:r>
        <w:t>1. Scope and System Overview</w:t>
      </w:r>
    </w:p>
    <w:p>
      <w:r>
        <w:t>The Industrial Controller X200 is an embedded, DIN-rail mounted real-time automation controller designed for high-reliability motion control, robotic cell coordination, and critical industrial telemetry. This specification establishes mandatory engineering requirements, functional criteria, electrical ratings, and safety boundaries for CE compliance and industrial deployment.</w:t>
      </w:r>
    </w:p>
    <w:p>
      <w:pPr>
        <w:pStyle w:val="Heading1"/>
      </w:pPr>
      <w:r>
        <w:t>2. Applicable Harmonized Standards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Standard 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 Target</w:t>
            </w:r>
          </w:p>
        </w:tc>
      </w:tr>
      <w:tr>
        <w:tc>
          <w:tcPr>
            <w:tcW w:type="dxa" w:w="2880"/>
          </w:tcPr>
          <w:p>
            <w:r>
              <w:t>IEC 61010-1:2010+A1:2016</w:t>
            </w:r>
          </w:p>
        </w:tc>
        <w:tc>
          <w:tcPr>
            <w:tcW w:type="dxa" w:w="2880"/>
          </w:tcPr>
          <w:p>
            <w:r>
              <w:t>Safety requirements for electrical equipment for measurement &amp; control</w:t>
            </w:r>
          </w:p>
        </w:tc>
        <w:tc>
          <w:tcPr>
            <w:tcW w:type="dxa" w:w="2880"/>
          </w:tcPr>
          <w:p>
            <w:r>
              <w:t>Mandatory (Class I)</w:t>
            </w:r>
          </w:p>
        </w:tc>
      </w:tr>
      <w:tr>
        <w:tc>
          <w:tcPr>
            <w:tcW w:type="dxa" w:w="2880"/>
          </w:tcPr>
          <w:p>
            <w:r>
              <w:t>EN 61326-1:2021</w:t>
            </w:r>
          </w:p>
        </w:tc>
        <w:tc>
          <w:tcPr>
            <w:tcW w:type="dxa" w:w="2880"/>
          </w:tcPr>
          <w:p>
            <w:r>
              <w:t>EMC requirements — Equipment for control and laboratory use (Industrial)</w:t>
            </w:r>
          </w:p>
        </w:tc>
        <w:tc>
          <w:tcPr>
            <w:tcW w:type="dxa" w:w="2880"/>
          </w:tcPr>
          <w:p>
            <w:r>
              <w:t>Zone B Industrial</w:t>
            </w:r>
          </w:p>
        </w:tc>
      </w:tr>
      <w:tr>
        <w:tc>
          <w:tcPr>
            <w:tcW w:type="dxa" w:w="2880"/>
          </w:tcPr>
          <w:p>
            <w:r>
              <w:t>ISO 13849-1:2023</w:t>
            </w:r>
          </w:p>
        </w:tc>
        <w:tc>
          <w:tcPr>
            <w:tcW w:type="dxa" w:w="2880"/>
          </w:tcPr>
          <w:p>
            <w:r>
              <w:t>Safety of machinery — Safety-related parts of control systems</w:t>
            </w:r>
          </w:p>
        </w:tc>
        <w:tc>
          <w:tcPr>
            <w:tcW w:type="dxa" w:w="2880"/>
          </w:tcPr>
          <w:p>
            <w:r>
              <w:t>PL d, Cat 3</w:t>
            </w:r>
          </w:p>
        </w:tc>
      </w:tr>
      <w:tr>
        <w:tc>
          <w:tcPr>
            <w:tcW w:type="dxa" w:w="2880"/>
          </w:tcPr>
          <w:p>
            <w:r>
              <w:t>IEC 60529:2013</w:t>
            </w:r>
          </w:p>
        </w:tc>
        <w:tc>
          <w:tcPr>
            <w:tcW w:type="dxa" w:w="2880"/>
          </w:tcPr>
          <w:p>
            <w:r>
              <w:t>Degrees of protection provided by enclosures (IP Code)</w:t>
            </w:r>
          </w:p>
        </w:tc>
        <w:tc>
          <w:tcPr>
            <w:tcW w:type="dxa" w:w="2880"/>
          </w:tcPr>
          <w:p>
            <w:r>
              <w:t>IP65 Enclosure</w:t>
            </w:r>
          </w:p>
        </w:tc>
      </w:tr>
    </w:tbl>
    <w:p>
      <w:pPr>
        <w:pStyle w:val="Heading1"/>
      </w:pPr>
      <w:r>
        <w:t>3. Electrical Specifications &amp; Power Budget</w:t>
      </w:r>
    </w:p>
    <w:p>
      <w:r>
        <w:t>REQ-ELE-001 [Critical]: Nominal Operating Voltage and Range</w:t>
        <w:br/>
        <w:t>The controller shall operate continuously from a regulated DC input supply with a nominal voltage of 24.0 V DC. The system must remain fully functional across an input tolerance range of 18.0 V DC to 30.0 V DC (24V DC -25% / +25%) with transient overvoltage withstand up to 36.0 V DC for durations ≤ 500 ms.</w:t>
      </w:r>
    </w:p>
    <w:p>
      <w:r>
        <w:t>REQ-ELE-002 [High]: Maximum Power Consumption &amp; Inrush Current</w:t>
        <w:br/>
        <w:t>Under maximum continuous processing and full digital/analog I/O load (32 channels energized), total system power consumption shall not exceed 45.0 W. Peak inrush current during cold-start boot sequence shall be limited to ≤ 8.0 A for a duration not exceeding 10.0 ms.</w:t>
      </w:r>
    </w:p>
    <w:p>
      <w:r>
        <w:t>REQ-ELE-003 [Critical]: Galvanic Isolation and Dielectric Withstand</w:t>
        <w:br/>
        <w:t>All primary field-bus I/O channels, Ethernet interfaces, and internal 3.3V/5V logic power planes shall feature galvanic optical and magnetic isolation. The insulation barrier shall withstand a test voltage of 2.5 kV AC RMS (50/60 Hz) for 60 seconds without dielectric breakdown, and maintain leakage current &lt; 1.0 mA.</w:t>
      </w:r>
    </w:p>
    <w:p>
      <w:r>
        <w:t>REQ-ELE-004 [High]: Internal DC Bus Ripple and Noise</w:t>
        <w:br/>
        <w:t>The internal filtered DC power rail distributed to high-speed analog acquisition stages shall exhibit peak-to-peak ripple and noise not exceeding 50.0 mV pk-pk across a 20 MHz measurement bandwidth under 100% load.</w:t>
      </w:r>
    </w:p>
    <w:p>
      <w:pPr>
        <w:pStyle w:val="Heading1"/>
      </w:pPr>
      <w:r>
        <w:t>4. Environmental &amp; Climatic Requirements</w:t>
      </w:r>
    </w:p>
    <w:p>
      <w:r>
        <w:t>REQ-ENV-001 [High]: Operating Ambient Temperature Range</w:t>
        <w:br/>
        <w:t>The equipment shall maintain full functional performance and timing accuracy across an ambient operating temperature range of -20.0 °C to +55.0 °C under continuous convection cooling without forced airflow.</w:t>
      </w:r>
    </w:p>
    <w:p>
      <w:r>
        <w:t>REQ-ENV-002 [Medium]: Storage and Transport Temperature Limits</w:t>
        <w:br/>
        <w:t>The equipment, in non-energized packed state, shall withstand storage temperatures from -40.0 °C to +85.0 °C and relative humidity levels up to 95.0% non-condensing (at +40.0 °C for 96 hours).</w:t>
      </w:r>
    </w:p>
    <w:p>
      <w:r>
        <w:t>REQ-ENV-003 [High]: Ingress Protection (IP Rating)</w:t>
        <w:br/>
        <w:t>When installed inside a sealed industrial enclosure with properly torqued gland connectors, the front-panel user interface and sealed bezel shall provide IP65 ingress protection according to IEC 60529 (dust-tight and protection against water jets from any direction).</w:t>
      </w:r>
    </w:p>
    <w:p>
      <w:pPr>
        <w:pStyle w:val="Heading1"/>
      </w:pPr>
      <w:r>
        <w:t>5. Functional Safety &amp; Real-Time Performance</w:t>
      </w:r>
    </w:p>
    <w:p>
      <w:r>
        <w:t>REQ-SAF-001 [Critical]: Emergency Stop (E-Stop) Response Time</w:t>
        <w:br/>
        <w:t>Upon actuation of the dual-channel emergency stop circuit (Safe Torque Off - STO), the system shall de-energize all motion control drive gate signals within a maximum deterministic latency of ≤ 25.0 ms (target ≤ 20.0 ms).</w:t>
      </w:r>
    </w:p>
    <w:p>
      <w:r>
        <w:t>REQ-SAF-002 [Critical]: Dual-Channel Redundancy &amp; Diagnostic Coverage</w:t>
        <w:br/>
        <w:t>The safety supervisory micro-controller shall achieve diagnostic coverage (DC) ≥ 99.0% and mean time to dangerous failure (MTTFd) ≥ 100 years, satisfying Category 3 / Performance Level d (PL d) per ISO 13849-1.</w:t>
      </w:r>
    </w:p>
    <w:p>
      <w:r>
        <w:t>REQ-COM-001 [Medium]: Real-Time EtherCAT Cycle Jitter</w:t>
        <w:br/>
        <w:t>The industrial Ethernet interface operating in EtherCAT master mode shall support a deterministic cycle time of 1.0 ms with maximum allowable cycle jitter ≤ 15.0 microseconds across 1,000,000 consecutive communication frames.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