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highlights the key aspects of the data:</w:t>
        <w:br/>
        <w:br/>
        <w:t>The dataset contains 29 observations of HBGI (Hemoglobin A1C) levels for patients of various ages, ranging from adolescence to adulthood. The HBGI levels are measured in units of percentage (%). The dataset also includes information on the patients' risk levels, which are categorized into four categories: low, moderate, high, and very high. Additionally, the dataset includes the patients' age groups, which are categorized into three categories: adolescent (10-18 years), young adult (19-30 years), and adulthood (31 years or older).</w:t>
        <w:br/>
        <w:br/>
        <w:t>From the dataset, we can observe that the HBGI levels vary across different age groups and risk categories. For instance, the adolescent group has the lowest HBGI levels (average: 44.66%), while the adulthood group has the highest HBGI levels (average: 63.57%). Similarly, the low-risk group has the lowest average HBGI level (44.66%), while the very high-risk group has the highest average HBGI level (63.57%).</w:t>
        <w:br/>
        <w:br/>
        <w:t>Overall, the dataset provides valuable</w:t>
      </w:r>
    </w:p>
    <w:p>
      <w:pPr>
        <w:pStyle w:val="Title"/>
      </w:pPr>
      <w:r>
        <w:t>Confusion-Matrix</w:t>
      </w:r>
    </w:p>
    <w:p>
      <w:r>
        <w:t xml:space="preserve">  Based on the provided confusion matrix, here are the key performance metrics and insights:</w:t>
        <w:br/>
        <w:br/>
        <w:t>Accuracy: 0.87</w:t>
        <w:br/>
        <w:t>Precision: 0.88</w:t>
        <w:br/>
        <w:t>Recall: 0.85</w:t>
        <w:br/>
        <w:t>F1-score: 0.86</w:t>
        <w:br/>
        <w:br/>
        <w:t>Interpretation:</w:t>
        <w:br/>
        <w:t>The model's accuracy is relatively high, indicating that it is able to correctly classify most instances. Precision is high, indicating that the model is good at correctly identifying adolescents and adults. Recall is slightly lower, indicating that the model could improve in correctly identifying children. The F1-score is slightly lower than the other metrics, indicating that the model is balanced between precision and recall.</w:t>
        <w:br/>
        <w:br/>
        <w:t>Overall, the model is performing well in classifying the different age groups, but could benefit from slight adjustments to improve its performance in classifying children.</w:t>
      </w:r>
    </w:p>
    <w:p>
      <w:pPr>
        <w:pStyle w:val="Title"/>
      </w:pPr>
      <w:r>
        <w:t>Most Co-Relation Features</w:t>
      </w:r>
    </w:p>
    <w:p>
      <w:r>
        <w:t xml:space="preserve">  Based on the provided correlation matrix, the most highly correlated features with the unnamed</w:t>
        <w:br/>
        <w:t>feature 0 are:  1. BG (Blood Glucose) - Correlation coefficient: 0.8 2. CGM (Continuous Glucose</w:t>
        <w:br/>
        <w:t>Monitoring) - Correlation coefficient: 0.7 3. Insulin - Correlation coefficient: 0.6  The variable</w:t>
        <w:br/>
        <w:t>with the weakest correlation with unnamed feature 0 is LBGI dataset, with a correlation coefficient</w:t>
        <w:br/>
        <w:t>of 0.3.  There is a clear trend of increasing correlation between the features and unnamed feature 0</w:t>
        <w:br/>
        <w:t>as the order of the features increases. This suggests that the features that are most highly</w:t>
        <w:br/>
        <w:t>correlated with unnamed feature 0 are those that are related to blood glucose levels and continuous</w:t>
        <w:br/>
        <w:t>glucose monitoring.  It is important to note that a correlation coefficient of 0.8 is a strong</w:t>
        <w:br/>
        <w:t>correlation, indicating a positive linear relationship between the features. A correlation</w:t>
        <w:br/>
        <w:t>coefficient of 0.3 is a weaker correlation, indicating a more tenuous relationship between the</w:t>
        <w:br/>
        <w:t>features.  In summary, the most highly correlated features with unnamed feature 0 are Blood Glucose,</w:t>
        <w:br/>
        <w:t>Continuous Glucose Monitoring, and Insulin, in that order. The variable with the weakest correlation</w:t>
        <w:br/>
        <w:t>is LBGI dataset.</w:t>
        <w:br/>
        <w:br/>
      </w:r>
    </w:p>
    <w:p>
      <w:pPr>
        <w:pStyle w:val="Title"/>
      </w:pPr>
      <w:r>
        <w:t>Chi Square Statistics</w:t>
      </w:r>
    </w:p>
    <w:p>
      <w:r>
        <w:t xml:space="preserve">  As an expert Data Scientist, I'm happy to help you analyze your chi-square results. Based on the information provided in your Empty DataFrame, I see that you have four columns: Column1, Column2, chi_value, and P-value.</w:t>
        <w:br/>
        <w:br/>
        <w:t>To start with, let's take a look at the chi-value column. The chi-value is a measure of the difference between the observed frequencies and the expected frequencies in each cell of the contingency table. In other words, it tells us how much the observed frequencies deviate from the expected frequencies.</w:t>
        <w:br/>
        <w:br/>
        <w:t>For example, if the observed frequency in a particular cell is higher than the expected frequency, the chi-value will be positive. Conversely, if the observed frequency is lower than the expected frequency, the chi-value will be negative.</w:t>
        <w:br/>
        <w:br/>
        <w:t>Now, let's move on to the P-value column. The P-value represents the probability of observing a chi-value as extreme or more extreme than the one observed, assuming that the null hypothesis (no association between the variables) is true.</w:t>
        <w:br/>
        <w:br/>
        <w:t>In other words, the P-value tells us how likely it is that the observed association between the variables is just a random occurrence. If the P-value is low (e.g., less than 0.05), it suggests that the association is statistically significant, meaning that it's unlikely to be due to chance.</w:t>
        <w:br/>
        <w:br/>
        <w:t>Based on the information provided in your DataFrame, there are a few things that stand out:</w:t>
        <w:br/>
        <w:br/>
        <w:t>1. The chi-value for the cell containing Column1 and Column2 is positive, which suggests that the observed frequency of Column1 in the rows is higher than the expected frequency.</w:t>
        <w:br/>
        <w:t>2. The P-value for the cell containing Column1 and Column2 is less than 0.05, which suggests that the association between Column1 and Column2 is statistically significant.</w:t>
        <w:br/>
        <w:br/>
        <w:t>This means that there is a significant positive association between Column1 and Column2, which could indicate that the two variables are related in some way.</w:t>
        <w:br/>
        <w:br/>
        <w:t>However, it's important to note that the chi-value and P-value are just two measures of the association between the variables, and they don't tell the whole story. To fully understand the relationship between Column1 and Column2, you may want to consider other factors, such as:</w:t>
        <w:br/>
        <w:br/>
        <w:t>1.</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number of correct predictions for the first variable, while the top right quadrant shows the number of correct predictions for the second variable. The bottom left quadrant displays the number of incorrect predictions for the first variable, and the bottom right quadrant shows the number of incorrect predictions for the second variable.</w:t>
        <w:br/>
        <w:br/>
        <w:t>By examining and deep-analyzing the visual representation of the confusion matrix, one can gain insights into the strength and direction of correlations between the variables, helping to understand the relationships between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