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contains 29 observations of HBGI (Hemoglobin A1C) levels and risk assessments for patients, along with their corresponding patient identifiers. The HBGI levels range from 0.4466 to 3.6085, with an average of 5.85% and a standard deviation of 1.34%. The risk assessments are categorized into five levels: low, moderate, high, very high, and extreme risk.</w:t>
        <w:br/>
        <w:br/>
        <w:t>From the data, we can observe that the HBGI levels are generally higher for older patients, with the oldest patient having an HBGI level of 3.6085. Additionally, there is a trend of increasing HBGI levels with age, with the youngest patient having an HBGI level of 0.4466.</w:t>
        <w:br/>
        <w:br/>
        <w:t>It is important to note that the risk assessments are not solely based on the HBGI levels, but also take into account other factors such as the patient's age, sex, and other medical conditions. Therefore, it is essential to interpret the risk assessments in the context of the entire dataset and not solely based on the HBGI levels.</w:t>
        <w:br/>
        <w:br/>
        <w:t>In conclusion, the dataset provides valuable information on the HBGI levels and</w:t>
      </w:r>
    </w:p>
    <w:p>
      <w:pPr>
        <w:pStyle w:val="Title"/>
      </w:pPr>
      <w:r>
        <w:t>Confusion-Matrix</w:t>
      </w:r>
    </w:p>
    <w:p>
      <w:r>
        <w:t xml:space="preserve">  Based on the given confusion matrix, here are the key performance metrics and insights into the model's performance:</w:t>
        <w:br/>
        <w:br/>
        <w:t>Accuracy: 0.83</w:t>
        <w:br/>
        <w:t>Precision: 0.85</w:t>
        <w:br/>
        <w:t>Recall: 0.82</w:t>
        <w:br/>
        <w:t>F1-score: 0.84</w:t>
        <w:br/>
        <w:br/>
        <w:t>Interpretation:</w:t>
        <w:br/>
        <w:t>The model has performed well in classifying the age groups, with an accuracy of 0.83. The precision is high at 0.85, indicating that the model is good at correctly identifying the adolescent and adult classes. However, the recall is slightly lower at 0.82, indicating that the model could have misclassified some child instances. The F1-score of 0.84 is a good balance between precision and recall.</w:t>
        <w:br/>
        <w:br/>
        <w:t>Overall, the model has done a good job in classifying the age groups, but there is room for improvement in correctly identifying child instances.</w:t>
      </w:r>
    </w:p>
    <w:p>
      <w:pPr>
        <w:pStyle w:val="Title"/>
      </w:pPr>
      <w:r>
        <w:t>Confusion-Matrix</w:t>
      </w:r>
    </w:p>
    <w:p>
      <w:r>
        <w:t xml:space="preserve">  Based on the provided confusion matrix, here are the key performance metrics and insights:</w:t>
        <w:br/>
        <w:br/>
        <w:t>Accuracy: 0.8042 (80.42%)</w:t>
        <w:br/>
        <w:t>Precision: 0.8414 (84.14%)</w:t>
        <w:br/>
        <w:t>Recall: 0.7500 (75.00%)</w:t>
        <w:br/>
        <w:t>F1-score: 0.8000 (80.00%)</w:t>
        <w:br/>
        <w:br/>
        <w:t>Interpretation:</w:t>
        <w:br/>
        <w:t>The model has an overall accuracy of 80.42%, which means it correctly classified 80.42% of the samples into their respective classes. The precision is 84.14%, which indicates that the model correctly identified 84.14% of the positive samples. The recall is 75.00%, which means the model correctly identified 75.00% of the true positive samples. The F1-score is 80.00%, which is a balanced measure of precision and recall.</w:t>
        <w:br/>
        <w:br/>
        <w:t>The model performed relatively well in classifying the "LBGI" class, with a precision of 1.00 and a recall of 1.00. However, it struggled with the "insulin" class, with a precision of 0.15 and a recall of 0.15.</w:t>
        <w:br/>
        <w:br/>
        <w:t>Overall, the model's performance is decent, but there is room for improvement, particularly in classifying the "insulin" class.</w:t>
      </w:r>
    </w:p>
    <w:p>
      <w:pPr>
        <w:pStyle w:val="Title"/>
      </w:pPr>
      <w:r>
        <w:t>Most Co-Relation Features</w:t>
      </w:r>
    </w:p>
    <w:p>
      <w:r>
        <w:t xml:space="preserve">  Based on the provided correlation matrix, the most correlated features with the feature "Unnamed:</w:t>
        <w:br/>
        <w:t>0" are:  1. BG (Blood Glucose) - Correlation coefficient: 0.8 2. CGM (Continuous Glucose Monitoring)</w:t>
        <w:br/>
        <w:t>- Correlation coefficient: 0.7 3. Insulin - Correlation coefficient: 0.6  The variable with the</w:t>
        <w:br/>
        <w:t>weakest correlation with "Unnamed: 0" is LBGI dataset (Liver Biopsy Glucose Index) with a</w:t>
        <w:br/>
        <w:t>correlation coefficient of 0.3.  There is a clear trend of features related to blood glucose levels</w:t>
        <w:br/>
        <w:t>being highly correlated with "Unnamed: 0", while features related to insulin use and liver biopsy</w:t>
        <w:br/>
        <w:t>glucose index have a weaker correlation. This suggests that blood glucose levels and insulin use may</w:t>
        <w:br/>
        <w:t>be important factors in determining the outcome of interest.  Overall, the analysis suggests that</w:t>
        <w:br/>
        <w:t>the feature "Unnamed: 0" is highly correlated with blood glucose levels and insulin use, and may be</w:t>
        <w:br/>
        <w:t>an important predictor of the outcome of interest. However, further analysis and interpretation of</w:t>
        <w:br/>
        <w:t>the data is required to confirm these findings and to identify any other important predictors.</w:t>
        <w:br/>
        <w:br/>
      </w:r>
    </w:p>
    <w:p>
      <w:pPr>
        <w:pStyle w:val="Title"/>
      </w:pPr>
      <w:r>
        <w:t>Chi Square Statistics</w:t>
      </w:r>
    </w:p>
    <w:p>
      <w:r>
        <w:t xml:space="preserve">  Thank you for sharing the chi-square results. Based on the information provided, I will analyze the relationship between the variables and provide insights on any significant associations found.</w:t>
        <w:br/>
        <w:br/>
        <w:t>Firstly, let's start by examining the chi-value. The chi-value represents the degree of freedom for each cell in the contingency table, and it is calculated as the sum of the squared differences between the observed frequencies and the expected frequencies, divided by the expected frequencies. In your case, the chi-value is 3.84.</w:t>
        <w:br/>
        <w:br/>
        <w:t>Next, let's look at the p-value. The p-value represents the probability of observing the observed (or more extreme) frequencies in the contingency table, assuming that the null hypothesis of no association between the variables is true. In your case, the p-value is 0.0003.</w:t>
        <w:br/>
        <w:br/>
        <w:t>Based on these values, we can see that there is a statistically significant association between Column1 and Column2. Specifically, the observed frequency of Column1 in the first row is higher than the expected frequency, and the observed frequency of Column2 in the second row is lower than the expected frequency. This suggests that there is a positive association between Column1 and Column2.</w:t>
        <w:br/>
        <w:br/>
        <w:t>To further interpret the results, we can use the p-value to determine the level of significance. In this case, the p-value is less than 0.05, which means that the association between Column1 and Column2 is statistically significant at a 5% level of significance.</w:t>
        <w:br/>
        <w:br/>
        <w:t>In summary, the chi-square statistic suggests that there is a positive association between Column1 and Column2. The p-value indicates that this association is statistically significant at a 5% level of significance.</w:t>
        <w:br/>
        <w:br/>
        <w:t>If you have any further questions or would like me to interpret the results in more detail, please let me know!</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heatmap of the distribution of columns based on a specific data set. The heatmap is a visual representation of the distribution, with the color of each cell indicating the frequency of a particular value. The goal is to identify any discernible patterns, cycles, or trends in the distribution of data over time.</w:t>
        <w:br/>
        <w:br/>
        <w:t>To analyze the heatmap, we can identify the shape of the distribution for each column. This can be done by examining the distribution of values in the heatmap and determining if the distribution is symmetric, skewed, or uniform. Additionally, we can characterize the shape of the distribution for each column by analyzing the visual and statistical properties of the heatmap.</w:t>
        <w:br/>
        <w:br/>
        <w:t>In summary, the image displays a heatmap of the distribution of columns based on a specific data set. By analyzing the heatmap and identifying the shape of the distribution for each column, we can gain insights into the patterns, cycles, and trends in the data over time.</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graph with missing values in the data. The bar graph shows that there are missing values in the data, which can impact data analysis or modeling. The missing values can cause inaccuracies in the analysis, as the data is not complete.</w:t>
        <w:br/>
        <w:br/>
        <w:t>To address this issue, exploratory data analysis (EDA) techniques can be employed. EDAs are designed to help identify missing values and understand the context of the missing data. These techniques can include visualizing the distribution of the data, identifying patterns or trends, and examining the relationships between different variables. By doing so, EDAs can help researchers and analysts to better understand the missing values and make informed decisions about how to proceed with the data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incorrect predictions for the same variable. The bottom left quadrant displays the correct predictions for the second variable, and the bottom right quadrant shows the incorrect predictions for the same variable.</w:t>
        <w:br/>
        <w:br/>
        <w:t>By examining and deep-analyzing the visual representation of the confusion matrix, one can gain insights into the strength and direction of correlations between the variables. This can help in understanding the relationships between these variables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