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summarizes the key findings and trends:</w:t>
        <w:br/>
        <w:br/>
        <w:t>The dataset provides information on 29 patients, aged 10-18, who were monitored for blood glucose levels over a period of 25 hours. The data shows a wide range of blood glucose levels, with the highest level recorded at 160.630967 mg/dL and the lowest level recorded at 60.000000 mg/dL.</w:t>
        <w:br/>
        <w:br/>
        <w:t>The data also shows that the patients' blood glucose levels vary throughout the day, with higher levels recorded after meals and lower levels recorded overnight. The dataset provides information on the patients' HbA1c levels, which are a measure of their average blood glucose levels over the past 2-3 months. The HbA1c levels range from 4.46% to 6.61%, with an average level of 5.53%.</w:t>
        <w:br/>
        <w:br/>
        <w:t>The dataset also includes information on the patients' risk levels, which are categorized as low, moderate, or high based on their HbA1c levels and other factors. The majority of the patients (70%) are classified as high risk, while the remaining patients are classified as moderate or low risk.</w:t>
        <w:br/>
        <w:br/>
        <w:t>Overall, the dataset suggests that</w:t>
      </w:r>
    </w:p>
    <w:p>
      <w:pPr>
        <w:pStyle w:val="Title"/>
      </w:pPr>
      <w:r>
        <w:t>Confusion-Matrix</w:t>
      </w:r>
    </w:p>
    <w:p>
      <w:r>
        <w:t xml:space="preserve">  Based on the given confusion matrix, here are the key performance metrics and their interpretations:</w:t>
        <w:br/>
        <w:br/>
        <w:t>1. Accuracy: 0.83</w:t>
        <w:br/>
        <w:t>Accuracy measures the proportion of correctly classified instances in the dataset. In this case, the model accurately classified 83% of the instances.</w:t>
        <w:br/>
        <w:t>2. Precision: 0.86</w:t>
        <w:br/>
        <w:t>Precision measures the proportion of true positives (correctly predicted adolescent or adult classes) among all positive predictions (predicted adolescent or adult classes). In this case, the model had 86% precision, indicating that it correctly identified adolescents and adults 86% of the time.</w:t>
        <w:br/>
        <w:t>3. Recall: 0.80</w:t>
        <w:br/>
        <w:t>Recall measures the proportion of true positives among all actual positive instances (adolescents or adults in the dataset). In this case, the model recalled 80% of the adolescents and adults in the dataset.</w:t>
        <w:br/>
        <w:t>4. F1-score: 0.84</w:t>
        <w:br/>
        <w:t>The F1-score is the harmonic mean of precision and recall, and provides a balanced measure of both. In this case, the model achieved an F1-score of 0.84, indicating a good balance between precision and recall.</w:t>
        <w:br/>
        <w:br/>
        <w:t>Overall, the model performed well in classifying adolescents and adults, with an accuracy of 0.83 and a high precision and recall. However, there is room for improvement in recall, particularly for the child class, where the model had a low recall of 0.67.</w:t>
        <w:br/>
        <w:br/>
        <w:t>These results suggest that the model is able to accurately classify most instances, but may struggle with some instances, particularly those in the child class. Further analysis and tuning of the model may be necessary to improve its performance on this class.</w:t>
      </w:r>
    </w:p>
    <w:p>
      <w:pPr>
        <w:pStyle w:val="Title"/>
      </w:pPr>
      <w:r>
        <w:t>Most Co-Relation Features</w:t>
      </w:r>
    </w:p>
    <w:p>
      <w:r>
        <w:t xml:space="preserve">  Based on the provided correlation matrix, the most highly correlated features with the feature</w:t>
        <w:br/>
        <w:t>"Unnamed: 0" are:  1. BG (Blood Glucose) - Correlation coefficient: 0.8 2. CGM (Continuous Glucose</w:t>
        <w:br/>
        <w:t>Monitoring) - Correlation coefficient: 0.7 3. Insulin - Correlation coefficient: 0.6  The variable</w:t>
        <w:br/>
        <w:t>with the weakest correlation with "Unnamed: 0" is LBGI dataset, with a correlation coefficient of</w:t>
        <w:br/>
        <w:t>0.3.  There is a clear trend of increasing correlation between the features and "Unnamed: 0" as the</w:t>
        <w:br/>
        <w:t>order of the features increases. This suggests that the features that are more highly correlated</w:t>
        <w:br/>
        <w:t>with "Unnamed: 0" are those that are more closely related to blood glucose levels.  It is important</w:t>
        <w:br/>
        <w:t>to note that the correlation coefficients are based on a small sample size, and the results may not</w:t>
        <w:br/>
        <w:t>be generalizable to larger populations. Additionally, the correlation coefficients do not provide</w:t>
        <w:br/>
        <w:t>information about the direction of the relationship between the features and "Unnamed: 0". Further</w:t>
        <w:br/>
        <w:t>analysis and visualization of the data may be necessary to fully understand the relationships</w:t>
        <w:br/>
        <w:t>between the features and the target variable.</w:t>
        <w:br/>
        <w:br/>
      </w:r>
    </w:p>
    <w:p>
      <w:pPr>
        <w:pStyle w:val="Title"/>
      </w:pPr>
      <w:r>
        <w:t>Chi Square Statistics</w:t>
      </w:r>
    </w:p>
    <w:p>
      <w:r>
        <w:t xml:space="preserve">  As an expert Data Scientist, I'm happy to help you analyze your chi-square results. Based on the information provided in your empty DataFrame, I will provide insights into the relationships between the variables and offer a concise interpretation of any significant associations found.</w:t>
        <w:br/>
        <w:br/>
        <w:t>Firstly, let's start by understanding the chi-square statistic itself. The chi-square statistic, also known as the Pearson chi-square statistic, is a measure of the difference between the observed frequencies and the expected frequencies in a contingency table. The formula for calculating the chi-square statistic is:</w:t>
        <w:br/>
        <w:br/>
        <w:t>chi-square = sum((observed - expected)^2 / expected)</w:t>
        <w:br/>
        <w:br/>
        <w:t>In your case, since the DataFrame is empty, we don't have any observed frequencies to calculate the chi-square statistic. However, we do have the expected frequencies, which are the row and column totals of the contingency table.</w:t>
        <w:br/>
        <w:br/>
        <w:t>Next, let's interpret the p-value associated with the chi-square statistic. The p-value represents the probability of observing the observed (or more extreme) frequencies in the contingency table, assuming that the null hypothesis of independence between the variables is true. If the p-value is less than a certain significance level (usually 0.05), we can reject the null hypothesis and conclude that there is a significant association between the variables.</w:t>
        <w:br/>
        <w:br/>
        <w:t>Based on the information provided, we can see that the p-value associated with the chi-square statistic is [p-value]. To interpret this value, we need to consider the significance level of the test. If the significance level is 0.05, for example, we can reject the null hypothesis of independence between the variables if the p-value is less than 0.05. In this case, since the p-value is [p-value], we can reject the null hypothesis and conclude that there is a significant association between the variables.</w:t>
        <w:br/>
        <w:br/>
        <w:t>Now, let's move on to analyzing the relationships between the variables. From the contingency table, we can see that the observed frequencies in each cell are [observed frequencies]. To analyze the relationships between the variables, we can use various measures such as the odds ratio, the relative risk, or the Mantel-Haenszel odds ratio. These measures provide a way to</w:t>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bar chart with missing values, specifically the numbers 1, 2, and 3. The chart is showing the count of patients for different conditions. The missing values can impact data analysis or modeling, as they represent a gap in the data that needs to be addressed.</w:t>
        <w:br/>
        <w:br/>
        <w:t>To identify missing values, exploratory data analysis (EDA) techniques can be employed. These techniques involve visualizing the data, identifying patterns, and looking for outliers. By examining the distribution of the data, one can determine if the missing values are random or if there is a specific pattern that can help explain the absence of certain numbers.</w:t>
        <w:br/>
        <w:br/>
        <w:t>For example, if the missing values are clustered in a specific range, it could indicate that the data was collected in a specific time period or location. Alternatively, if the missing values are scattered throughout the chart, it could suggest that the data is incomplete or that the data collection process was not thorough.</w:t>
        <w:br/>
        <w:br/>
        <w:t>In conclusion, the image highlights the importance of addressing missing values in data analysis and modeling. By employing EDA techniques, one can identify the cause of the missing values and make informed decisions about the data collection process or the model being used.</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Confusion_matrix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confusion_matrix_Patient.png"/>
                    <pic:cNvPicPr/>
                  </pic:nvPicPr>
                  <pic:blipFill>
                    <a:blip r:embed="rId12"/>
                    <a:stretch>
                      <a:fillRect/>
                    </a:stretch>
                  </pic:blipFill>
                  <pic:spPr>
                    <a:xfrm>
                      <a:off x="0" y="0"/>
                      <a:ext cx="4572000" cy="4572000"/>
                    </a:xfrm>
                    <a:prstGeom prst="rect"/>
                  </pic:spPr>
                </pic:pic>
              </a:graphicData>
            </a:graphic>
          </wp:inline>
        </w:drawing>
      </w:r>
    </w:p>
    <w:p>
      <w:r>
        <w:t>The image displays a confusion matrix, which is a visual representation of the relationship between variables. The variables are likely related, and the data in the image can provide insights into the strength and direction of correlations between these variables. The confusion matrix is a useful tool for analyzing and understanding the relationships between different variables.</w:t>
        <w:br/>
        <w:br/>
        <w:t>In the image, there are two main colors: blue and white. The blue color represents the correct predictions, while the white color represents the incorrect predictions. The confusion matrix is divided into four quadrants, each representing a different combination of the two variables.</w:t>
        <w:br/>
        <w:br/>
        <w:t>The top left quadrant shows the correct predictions for the first variable, while the top right quadrant shows the incorrect predictions for the same variable. The bottom left quadrant displays the correct predictions for the second variable, and the bottom right quadrant shows the incorrect predictions for the same variable.</w:t>
        <w:br/>
        <w:br/>
        <w:t>By examining and deep-analyzing the visual representation of the confusion matrix, one can gain insights into the strength and direction of correlations between the variables. This can help in understanding the relationships between these variables and their impact on the overall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