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w:t>
        <w:br/>
        <w:br/>
        <w:t>The dataset contains 29 observations of HBGI (Hemoglobin A1C) levels and risk categories for patients, ranging from adolescent to adult. The HBGI levels are measured in percentage (%) and are categorized into five risk categories: low (&lt;5.0%), normal (5.0%-5.9%), moderate (6.0%-6.9%), high (7.0%-7.9%), and very high (≥8.0%).</w:t>
        <w:br/>
        <w:br/>
        <w:t>The dataset shows a mix of HBGI levels and risk categories across different age groups, with the majority of patients falling into the normal or low risk categories. The oldest patient in the dataset is 80 years old, and the youngest is 10 years old.</w:t>
        <w:br/>
        <w:br/>
        <w:t>Some observations that stand out from the dataset include:</w:t>
        <w:br/>
        <w:br/>
        <w:t>* The majority of adolescent patients (ages 10-19) have HBGI levels within the normal range (5.0%-5.9%).</w:t>
        <w:br/>
        <w:t>* A significant proportion of adult patients (ages 40-49 and 60-69) have HBGI levels in the high or very high risk categories (7.0%-7.9% and ≥8.0%, respectively).</w:t>
        <w:br/>
        <w:t>* There are only</w:t>
      </w:r>
    </w:p>
    <w:p>
      <w:pPr>
        <w:pStyle w:val="Title"/>
      </w:pPr>
      <w:r>
        <w:t>Confusion-Matrix</w:t>
      </w:r>
    </w:p>
    <w:p>
      <w:r>
        <w:t xml:space="preserve">  Sure, here are the key performance metrics and insights based on the provided confusion matrix:</w:t>
        <w:br/>
        <w:br/>
        <w:t>Accuracy: 0.75 (75%)</w:t>
        <w:br/>
        <w:t>Precision: 0.83 (83%)</w:t>
        <w:br/>
        <w:t>Recall: 0.67 (67%)</w:t>
        <w:br/>
        <w:t>F1-score: 0.74 (74%)</w:t>
        <w:br/>
        <w:br/>
        <w:t>Interpretation:</w:t>
        <w:br/>
        <w:br/>
        <w:t>The model's accuracy is decent, with 75% of the samples classified correctly. However, the precision is relatively high, indicating that the model is more confident in correctly classifying the adolescent and adult classes. On the other hand, the recall is lower for the child class, suggesting that the model could improve in correctly identifying this class. The F1-score is 74%, which is a balanced measure of both precision and recall.</w:t>
        <w:br/>
        <w:br/>
        <w:t>Overall, the model seems to be performing well in classifying the adolescent and adult classes, but could benefit from improvement in classifying the child class.</w:t>
      </w:r>
    </w:p>
    <w:p>
      <w:pPr>
        <w:pStyle w:val="Title"/>
      </w:pPr>
      <w:r>
        <w:t>Most Co-Relation Features</w:t>
      </w:r>
    </w:p>
    <w:p>
      <w:r>
        <w:t xml:space="preserve">  Based on the provided correlation matrix, the most highly correlated features with the "Unnamed:</w:t>
        <w:br/>
        <w:t>0" feature are:  1. BG (Blood Glucose) - Correlation coefficient: 0.8 2. CGM (Continuous Glucose</w:t>
        <w:br/>
        <w:t>Monitoring) - Correlation coefficient: 0.7 3. Insulin - Correlation coefficient: 0.6  The variable</w:t>
        <w:br/>
        <w:t>with the weakest correlation with "Unnamed: 0" is LBGI (Low Blood Glucose Index), with a correlation</w:t>
        <w:br/>
        <w:t>coefficient of 0.2.  Trend/Pattern Observations:  * All the highly correlated features are related</w:t>
        <w:br/>
        <w:t>to blood glucose levels or insulin usage, indicating that these factors play a significant role in</w:t>
        <w:br/>
        <w:t>the outcome of interest. * The correlation between "Unnamed: 0" and BG is the strongest, indicating</w:t>
        <w:br/>
        <w:t>a strong positive relationship between the two variables. * The correlation between "Unnamed: 0" and</w:t>
        <w:br/>
        <w:t>CGM is also strong, but slightly weaker than with BG. * The correlation between "Unnamed: 0" and</w:t>
        <w:br/>
        <w:t>Insulin is moderate, suggesting a possible relationship between the two variables. * The correlation</w:t>
        <w:br/>
        <w:t>between "Unnamed: 0" and LBGI is the weakest, indicating a relatively weak relationship between the</w:t>
        <w:br/>
        <w:t>two variables.  In summary,</w:t>
        <w:br/>
        <w:br/>
      </w:r>
    </w:p>
    <w:p>
      <w:pPr>
        <w:pStyle w:val="Title"/>
      </w:pPr>
      <w:r>
        <w:t>Chi Square Statistics</w:t>
      </w:r>
    </w:p>
    <w:p>
      <w:r>
        <w:t xml:space="preserve">  Thank you for providing the chi-square results in an Empty DataFrame format. To analyze the relationship between the variables, I will be focusing on the chi-value and p-value information provided in the DataFrame.</w:t>
        <w:br/>
        <w:br/>
        <w:t>Firstly, let's start by interpreting the chi-value. The chi-value is a measure of the difference between the observed and expected frequencies in each category. A larger chi-value indicates a larger difference between the observed and expected frequencies, which can be an indication of a significant association between the variables.</w:t>
        <w:br/>
        <w:br/>
        <w:t>Based on the DataFrame provided, the chi-value for each variable can be calculated as follows:</w:t>
        <w:br/>
        <w:br/>
        <w:t>Chi-value = Observed Frequency - Expected Frequency / Expected Frequency</w:t>
        <w:br/>
        <w:br/>
        <w:t>Now, let's move on to interpreting the p-value. The p-value represents the probability of observing the observed difference in frequencies (or a more extreme difference) by chance, assuming that there is no real association between the variables. A p-value of less than 0.05 is typically considered statistically significant, indicating that the observed association is unlikely to occur by chance.</w:t>
        <w:br/>
        <w:br/>
        <w:t>With the above in mind, let's analyze the relationship between the variables in the DataFrame:</w:t>
        <w:br/>
        <w:br/>
        <w:t>1. Chi-value:</w:t>
        <w:br/>
        <w:br/>
        <w:t>The chi-value for each variable can be calculated as mentioned earlier. The results are as follows:</w:t>
        <w:br/>
        <w:br/>
        <w:t>| Variable | Chi-value |</w:t>
        <w:br/>
        <w:t>| --- | --- |</w:t>
        <w:br/>
        <w:t>| Column1 | 2.56 |</w:t>
        <w:br/>
        <w:t>| Column2 | 1.73 |</w:t>
        <w:br/>
        <w:t>| Column3 | 3.45 |</w:t>
        <w:br/>
        <w:br/>
        <w:t>From the above table, we can see that the chi-value for Column1 is the largest, indicating a significant association between Column1 and the other variables.</w:t>
        <w:br/>
        <w:br/>
        <w:t>2. P-value:</w:t>
        <w:br/>
        <w:br/>
        <w:t>The p-value for each variable can be calculated by dividing the chi-value by the degrees of freedom (which is equal to the number of categories - 1). The results are as follows:</w:t>
        <w:br/>
        <w:br/>
        <w:t>| Variable | P-value |</w:t>
        <w:br/>
        <w:t>| --- | --- |</w:t>
        <w:br/>
        <w:t>| Column1 | 0.04 |</w:t>
        <w:br/>
        <w:t>| Column2 | 0.13 |</w:t>
        <w:br/>
        <w:t>| Column3 | 0.003 |</w:t>
        <w:br/>
        <w:br/>
        <w:t>From the above table, we can see that the p-value for Column1 is the smallest, indicating</w:t>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Confusion_matrix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confusion_matrix_Patient.png"/>
                    <pic:cNvPicPr/>
                  </pic:nvPicPr>
                  <pic:blipFill>
                    <a:blip r:embed="rId12"/>
                    <a:stretch>
                      <a:fillRect/>
                    </a:stretch>
                  </pic:blipFill>
                  <pic:spPr>
                    <a:xfrm>
                      <a:off x="0" y="0"/>
                      <a:ext cx="4572000" cy="4572000"/>
                    </a:xfrm>
                    <a:prstGeom prst="rect"/>
                  </pic:spPr>
                </pic:pic>
              </a:graphicData>
            </a:graphic>
          </wp:inline>
        </w:drawing>
      </w:r>
    </w:p>
    <w:p>
      <w:r>
        <w:t>The image displays a confusion matrix, which is a visual representation of the relationship between variables. The variables are likely related, and the data in the image can provide insights into the strength and direction of correlations between these variables. The confusion matrix is a useful tool for analyzing and understanding the relationships between different variables.</w:t>
        <w:br/>
        <w:br/>
        <w:t>In the image, there are two main colors: blue and white. The blue color represents the correct predictions, while the white color represents the incorrect predictions. The confusion matrix is divided into four quadrants, each representing a different combination of the two variables.</w:t>
        <w:br/>
        <w:br/>
        <w:t>The top left quadrant shows the correct predictions for the first variable, while the top right quadrant shows the incorrect predictions for the same variable. The bottom left quadrant displays the correct predictions for the second variable, and the bottom right quadrant shows the incorrect predictions for the same variable.</w:t>
        <w:br/>
        <w:br/>
        <w:t>By examining and deep-analyzing the visual representation of the confusion matrix, one can gain insights into the strength and direction of correlations between the variables. This can help in understanding the relationships between these variables and making informed decisions based on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