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observations:</w:t>
        <w:br/>
        <w:br/>
        <w:t>The dataset provides information on 29 patients, including their HBGI (Hemoglobin A1C) levels, risk category, and patient information. The HBGI levels range from 0.446600 to 3.608514, with the majority of patients falling into the "high risk" category (17 patients). The youngest patient in the dataset is an adolescent, while the oldest patient is in their 60s.</w:t>
        <w:br/>
        <w:br/>
        <w:t>Notably, there are several patients with HBGI levels above 2, which indicates a higher risk of developing complications related to diabetes. These patients may require more frequent monitoring and closer management to prevent or delay the progression of diabetes-related complications.</w:t>
        <w:br/>
        <w:br/>
        <w:t>Overall, the dataset suggests that there is a significant proportion of patients with high HBGI levels, which highlights the need for closer monitoring and management of diabetes in this population. However, it is important to note that the dataset is limited to 29 patients, and further research is needed to generalize these findings to a larger population.</w:t>
      </w:r>
    </w:p>
    <w:p>
      <w:pPr>
        <w:pStyle w:val="Title"/>
      </w:pPr>
      <w:r>
        <w:t>Confusion-Matrix</w:t>
      </w:r>
    </w:p>
    <w:p>
      <w:r>
        <w:t xml:space="preserve">  Sure! Here are the key performance metrics for the given confusion matrix:</w:t>
        <w:br/>
        <w:br/>
        <w:t>* Accuracy: 0.84</w:t>
        <w:br/>
        <w:t>* Precision: 0.87</w:t>
        <w:br/>
        <w:t>* Recall: 0.81</w:t>
        <w:br/>
        <w:t>* F1-score: 0.84</w:t>
        <w:br/>
        <w:br/>
        <w:t>Here are some concise insights into the model's performance:</w:t>
        <w:br/>
        <w:br/>
        <w:t>* The model has a high accuracy of 0.84, indicating that it is able to correctly classify most instances.</w:t>
        <w:br/>
        <w:t>* The precision of 0.87 suggests that the model is good at correctly identifying adolescents and adults, but less accurate when classifying children.</w:t>
        <w:br/>
        <w:t>* The recall of 0.81 indicates that the model is good at identifying adolescents and children, but less accurate when classifying adults.</w:t>
        <w:br/>
        <w:t>* The F1-score of 0.84 is a good balance between precision and recall, indicating that the model is performing well overall.</w:t>
        <w:br/>
        <w:br/>
        <w:t>Overall, the model appears to be performing well in classifying the different age groups, with a high accuracy and good precision for adolescents and children. However, there is room for improvement in accurately classifying adults.</w:t>
      </w:r>
    </w:p>
    <w:p>
      <w:pPr>
        <w:pStyle w:val="Title"/>
      </w:pPr>
      <w:r>
        <w:t>Most Co-Relation Features</w:t>
      </w:r>
    </w:p>
    <w:p>
      <w:r>
        <w:t xml:space="preserve">  Based on the provided correlation matrix, the most correlated features with the unnamed feature 0</w:t>
        <w:br/>
        <w:t>are:  1. BG (Blood Glucose) - Correlation coefficient: 0.8 2. CGM (Continuous Glucose Monitoring) -</w:t>
        <w:br/>
        <w:t>Correlation coefficient: 0.7 3. Insulin - Correlation coefficient: 0.6  The variable with the</w:t>
        <w:br/>
        <w:t>weakest correlation with the unnamed feature 0 is LBGI dataset (Liver Biopsy Glucose Index) with a</w:t>
        <w:br/>
        <w:t>correlation coefficient of 0.3.  There is a clear trend of features related to glucose levels and</w:t>
        <w:br/>
        <w:t>insulin use being highly correlated with the unnamed feature 0, while other features such as LBGI</w:t>
        <w:br/>
        <w:t>dataset have a weaker correlation. This suggests that the unnamed feature 0 is likely related to</w:t>
        <w:br/>
        <w:t>glucose levels or insulin use in some way.  In summary, the most correlated features with the</w:t>
        <w:br/>
        <w:t>unnamed feature 0 are BG, CGM, and Insulin, while the variable with the weakest correlation is LBGI</w:t>
        <w:br/>
        <w:t>dataset.</w:t>
        <w:br/>
        <w:br/>
      </w:r>
    </w:p>
    <w:p>
      <w:pPr>
        <w:pStyle w:val="Title"/>
      </w:pPr>
      <w:r>
        <w:t>Chi Square Statistics</w:t>
      </w:r>
    </w:p>
    <w:p>
      <w:r>
        <w:t xml:space="preserve">  As an expert Data Scientist, I'm happy to help you interpret your chi-square results. To begin with, can you tell me a bit more about the variables in your DataFrame? Specifically, what are the Column1, Column2, and chi_value columns representing?</w:t>
        <w:br/>
        <w:br/>
        <w:t>Once I have a better understanding of the variables, I can provide more tailored insights into the relationship between them. Additionally, I'll need to know the P-value column represents. Is it the observed P-value or the theoretical P-value? Knowing this information will help me interpret the results more accurately.</w:t>
        <w:br/>
        <w:br/>
        <w:t>Now, let's dive into the analysis. Based on the chi-square results you provided, I see that there are no significant associations between any of the variables. This means that the observed frequencies of each category in the two columns do not differ significantly from each other.</w:t>
        <w:br/>
        <w:br/>
        <w:t>To interpret this result, it's important to understand the context of the variables. What are Column1 and Column2 representing? Are they categorical or numerical variables? What are the possible categories in each column?</w:t>
        <w:br/>
        <w:br/>
        <w:t>If the variables are categorical, we can look for significant associations between the categories. For example, if Column1 represents gender and Column2 represents occupation, we might find a significant association between male and female occupations if the observed frequencies of each category differ significantly.</w:t>
        <w:br/>
        <w:br/>
        <w:t>However, if the variables are numerical, we might need to transform them into categorical variables to analyze the relationship. For instance, if Column1 represents age and Column2 represents income, we might need to group the ages into categories (e.g., young adults, middle-aged, and seniors) to find significant associations between age and income.</w:t>
        <w:br/>
        <w:br/>
        <w:t>In summary, without more information about the variables in your DataFrame, it's difficult to provide a detailed interpretation of the chi-square results. Can you please provide more context or clarify the variables in your original question?</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