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highlights the key features and trends:</w:t>
        <w:br/>
        <w:br/>
        <w:t>The dataset contains 29 observations of HBGI (Hemoglobin A1C) levels and corresponding risk levels for patients, ranging from adolescents to adults. The HBGI levels vary widely, with the highest level recorded at 15.68% and the lowest at 4.44%. The risk levels are also diverse, ranging from 0.44% to 1.67%.</w:t>
        <w:br/>
        <w:br/>
        <w:t>One notable trend in the dataset is the increase in HBGI levels with age. Adolescents have the lowest HBGI levels, ranging from 4.44% to 5.52%, while adults have the highest levels, ranging from 10.27% to 1.67%. This suggests that HBGI levels may increase with age, although more data points are needed to confirm this trend.</w:t>
        <w:br/>
        <w:br/>
        <w:t>Another trend is the variation in HBGI levels among different patient groups. For example, patients in the "adolescent" group have the lowest HBGI levels, while patients in the "adult" group have the highest levels. This may indicate that different patient populations have different levels of HBGI, which could have implications for disease diagnosis</w:t>
      </w:r>
    </w:p>
    <w:p>
      <w:pPr>
        <w:pStyle w:val="Title"/>
      </w:pPr>
      <w:r>
        <w:t>Summary Statistics</w:t>
      </w:r>
    </w:p>
    <w:p>
      <w:r>
        <w:t xml:space="preserve"> Based on the provided dataset, here are some key statistics and insights: 1.</w:t>
        <w:br/>
        <w:t>Count: The dataset</w:t>
        <w:br/>
        <w:t>contains 31,168 observations.</w:t>
        <w:br/>
        <w:t>2.</w:t>
        <w:br/>
        <w:t>Mean: The mean value of BG, CGM, CHO, insulin, and LBGI is 110.049,</w:t>
        <w:br/>
        <w:t>113.415, 39.000, 0.0155, and 3.024, respectively.</w:t>
        <w:br/>
        <w:t>3.</w:t>
        <w:br/>
        <w:t>Standard deviation: The standard deviation of</w:t>
        <w:br/>
        <w:t>BG, CGM, CHO, insulin, and LBGI is 47.32, 47.53, 39.00, 0.006, and 4.35, respectively.</w:t>
        <w:br/>
        <w:t>4.</w:t>
        <w:br/>
        <w:t>Minimum:</w:t>
        <w:br/>
        <w:t>The minimum value of BG, CGM, CHO, insulin, and LBGI is 6.60, 39.00, 0.006, 0.000, and 0.000,</w:t>
        <w:br/>
        <w:t>respectively.</w:t>
        <w:br/>
        <w:t>5.</w:t>
        <w:br/>
        <w:t>25th percentile: The 25th percentile of BG, CGM, CHO, insulin, and LBGI is 77.14,</w:t>
        <w:br/>
        <w:t>78.85, 39.00, 0.0</w:t>
        <w:br/>
        <w:br/>
      </w:r>
    </w:p>
    <w:p>
      <w:pPr>
        <w:pStyle w:val="Title"/>
      </w:pPr>
      <w:r>
        <w:t>Most Co-Relation Features</w:t>
      </w:r>
    </w:p>
    <w:p>
      <w:r>
        <w:t xml:space="preserve">  Based on the provided Feature Importance matrix, I have analyzed the most correlated features in</w:t>
        <w:br/>
        <w:t>the dataset.  The strongest correlation feature in the dataset is BG with a correlation coefficient</w:t>
        <w:br/>
        <w:t>of 0.836763. This feature is highly correlated with the target variable, indicating that it has a</w:t>
        <w:br/>
        <w:t>strong impact on the prediction outcome.  On the other hand, the weakest correlation feature in the</w:t>
        <w:br/>
        <w:t>dataset is LBGI with a correlation coefficient of 0.464673. This feature has a relatively weak</w:t>
        <w:br/>
        <w:t>correlation with the target variable, suggesting that it may not have a significant impact on the</w:t>
        <w:br/>
        <w:t>prediction outcome.  Upon analyzing the trends and patterns in the dataset, I noticed that the</w:t>
        <w:br/>
        <w:t>correlation between BG and the target variable is consistent across all samples, indicating a strong</w:t>
        <w:br/>
        <w:t>positive linear relationship. In contrast, the correlation between LBGI and the target variable is</w:t>
        <w:br/>
        <w:t>inconsistent across samples, suggesting a weaker non-linear relationship.  In summary, the most</w:t>
        <w:br/>
        <w:t>correlated features in the dataset are BG and LBGI, with BG having the strongest correlation and</w:t>
        <w:br/>
        <w:t>LBGI having the weakest correlation. The correlation between BG and the target variable is</w:t>
        <w:br/>
        <w:t>consistent and positive, while the correlation between LBGI and the target variable is inconsistent</w:t>
        <w:br/>
        <w:t>and weaker.</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Risk.png"/>
                    <pic:cNvPicPr/>
                  </pic:nvPicPr>
                  <pic:blipFill>
                    <a:blip r:embed="rId13"/>
                    <a:stretch>
                      <a:fillRect/>
                    </a:stretch>
                  </pic:blipFill>
                  <pic:spPr>
                    <a:xfrm>
                      <a:off x="0" y="0"/>
                      <a:ext cx="4572000" cy="4572000"/>
                    </a:xfrm>
                    <a:prstGeom prst="rect"/>
                  </pic:spPr>
                </pic:pic>
              </a:graphicData>
            </a:graphic>
          </wp:inline>
        </w:drawing>
      </w:r>
    </w:p>
    <w:p>
      <w:r>
        <w:t>The image displays two blue bars, one on the left and one on the right, with a line of text running horizontally across the top of the bars. The text appears to be a description or analysis of the bars. The bars are likely related to a Neural Regressor, which is a machine learning algorithm used for regression tasks. The bars may represent different aspects of the algorithm, such as accuracy, precision, or other performance metrics. The text above the bars could provide information about the strength and direction of correlations between these variables. By analyzing the colors and patterns in the Neural Regressor, one can gain insights into the relationships between these variables and how they impact the overall performance of the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