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HBGI (Hormone Balance and Glucose Interaction) levels, along with relevant information about the patients' risk levels and age groups. The HBGI values range from 0.446600 to 3.608514, with an average value of 1.272207 and a standard deviation of 1.193678.</w:t>
        <w:br/>
        <w:br/>
        <w:t>The patients in this dataset can be grouped into three age groups: adolescent (ages 10-19), young adult (ages 20-29), and adult (ages 30 and above). Within each age group, the patients are further categorized based on their risk levels, which are determined by their HBGI values.</w:t>
        <w:br/>
        <w:br/>
        <w:t>Overall, this dataset provides valuable insights into the relationship between HBGI levels and patient demographics, highlighting the importance of considering age and risk factors when evaluating HBGI levels in patients.</w:t>
      </w:r>
    </w:p>
    <w:p>
      <w:pPr>
        <w:pStyle w:val="Title"/>
      </w:pPr>
      <w:r>
        <w:t>Summary Statistics</w:t>
      </w:r>
    </w:p>
    <w:p>
      <w:r>
        <w:t xml:space="preserve"> Based on the provided dataset, here are the key statistics and insights: 1.</w:t>
        <w:br/>
        <w:t>Count: The dataset</w:t>
        <w:br/>
        <w:t>contains 31,168 observations.</w:t>
        <w:br/>
        <w:t>2.</w:t>
        <w:br/>
        <w:t>Mean: The mean value of BG, CGM, CHO, insulin, and LBGI is 110.049,</w:t>
        <w:br/>
        <w:t>113.415, 39.000, 0.0155, and 3.024, respectively.</w:t>
        <w:br/>
        <w:t>3.</w:t>
        <w:br/>
        <w:t>Standard deviation: The standard deviation of</w:t>
        <w:br/>
        <w:t>BG, CGM, CHO, insulin, and LBGI is 47.32, 47.53, 39.00, 0.006, and 4.35, respectively.</w:t>
        <w:br/>
        <w:t>4.</w:t>
        <w:br/>
        <w:t>Minimum:</w:t>
        <w:br/>
        <w:t>The minimum value of BG, CGM, CHO, insulin, and LBGI is 6.60, 39.00, 0.006, 0.000, and 0.000,</w:t>
        <w:br/>
        <w:t>respectively.</w:t>
        <w:br/>
        <w:t>5.</w:t>
        <w:br/>
        <w:t>25th percentile: The 25th percentile of BG, CGM, CHO, insulin, and LBGI is 77.14,</w:t>
        <w:br/>
        <w:t>78.85, 39.00, 0.0</w:t>
        <w:br/>
        <w:br/>
      </w:r>
    </w:p>
    <w:p>
      <w:pPr>
        <w:pStyle w:val="Title"/>
      </w:pPr>
      <w:r>
        <w:t>Most Co-Relation Features</w:t>
      </w:r>
    </w:p>
    <w:p>
      <w:r>
        <w:t xml:space="preserve">  Based on the Feature Importance matrix provided, here are the most highly correlated features in</w:t>
        <w:br/>
        <w:t>the dataset:  1. BG (coefficient = 0.369804) - This feature has the strongest correlation with the</w:t>
        <w:br/>
        <w:t>target variable in the dataset. It is highly likely that BG is a significant predictor of the target</w:t>
        <w:br/>
        <w:t>variable. 2. CGM (coefficient = 0.268833) - This feature is the second most highly correlated with</w:t>
        <w:br/>
        <w:t>the target variable. 3. LBGI (coefficient = 0.265796) - This feature is also highly correlated with</w:t>
        <w:br/>
        <w:t>the target variable, ranking third in terms of correlation strength.  On the other hand, the</w:t>
        <w:br/>
        <w:t>variable with the weakest correlation with the target variable is HBGI (coefficient = 0.098896).</w:t>
        <w:br/>
        <w:t>This feature has a relatively weak correlation with the target variable, indicating that it may not</w:t>
        <w:br/>
        <w:t>be a strong predictor.  There are some trends and patterns that can be observed in the correlation</w:t>
        <w:br/>
        <w:t>matrix:  * The first three features (BG, CGM, and LBGI) are all related to blood glucose levels,</w:t>
        <w:br/>
        <w:t>suggesting that these variables may be important predictors of the target variable. * The remaining</w:t>
        <w:br/>
        <w:t>features (Risk and Patient) have relatively weak correlations with the target variable, indicating</w:t>
        <w:br/>
        <w:t>that they may</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insulin.png"/>
                    <pic:cNvPicPr/>
                  </pic:nvPicPr>
                  <pic:blipFill>
                    <a:blip r:embed="rId13"/>
                    <a:stretch>
                      <a:fillRect/>
                    </a:stretch>
                  </pic:blipFill>
                  <pic:spPr>
                    <a:xfrm>
                      <a:off x="0" y="0"/>
                      <a:ext cx="4572000" cy="4572000"/>
                    </a:xfrm>
                    <a:prstGeom prst="rect"/>
                  </pic:spPr>
                </pic:pic>
              </a:graphicData>
            </a:graphic>
          </wp:inline>
        </w:drawing>
      </w:r>
    </w:p>
    <w:p>
      <w:r>
        <w:t>The image displays a graph with a blue line, which is likely a Neural Regressor. The Neural Regressor is a machine learning model that is used to analyze relationships between variables. In this case, the blue line represents the relationship between two variables.</w:t>
        <w:br/>
        <w:br/>
        <w:t>The graph is a line graph, with the x-axis representing one variable and the y-axis representing the other variable. The Neural Regressor is used to analyze the strength and direction of the correlations between these variables. By examining the colors and patterns in the Neural Regressor, one can gain insights into the relationships between the variables.</w:t>
        <w:br/>
        <w:br/>
        <w:t>The Neural Regressor is a powerful tool for data analysis and can be used in various applications, such as predicting future trends, identifying patterns,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