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(Hormone Blood Glucose Index) levels and corresponding risk levels for patients of different ages, ranging from adolescence to adulthood. The HBGI values are measured in units of milligrams per deciliter (mg/dL), and the risk levels are categorized into five levels: low, moderate, high, very high, and extreme high.</w:t>
        <w:br/>
        <w:br/>
        <w:t>The majority of the observations (23 out of 29) belong to the adolescent age group (10-19 years old), with a few observations for each of the other age groups: young adult (20-29 years old), middle-aged (40-49 years old), and elderly (60-69 years old).</w:t>
        <w:br/>
        <w:br/>
        <w:t>The distribution of HBGI values across the different age groups is skewed, with the highest values observed in the adolescent age group. The risk levels also follow a similar pattern, with the highest risk levels observed in the adolescent age group.</w:t>
        <w:br/>
        <w:br/>
        <w:t>Overall, the dataset suggests that HBGI levels and risk levels vary significantly across different age groups, with the highest levels observed in adolescence. Further analysis and interpretation of the data may provide insights into the</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 and 3.116800e+04, respectively.</w:t>
        <w:br/>
        <w:t>3.</w:t>
        <w:br/>
        <w:t>Standard Deviation: The</w:t>
        <w:br/>
        <w:t>standard deviation of BG, CGM, CHO, insulin, and LBGI is 47.321084, 47.528440, 47.321084, 0.0, and</w:t>
        <w:br/>
        <w:t>4.352423, respectively.</w:t>
        <w:br/>
        <w:t>4.</w:t>
        <w:br/>
        <w:t>Minimum: The minimum value of BG, CGM, CHO, insulin, and LBGI is</w:t>
        <w:br/>
        <w:t>6.601303, 39.000000, 0.0, 0.006575, and 0.000000, respectively.</w:t>
        <w:br/>
        <w:t>5.</w:t>
        <w:br/>
        <w:t>25th Percentile: The 25th</w:t>
        <w:br/>
        <w:t>percentile of BG,</w:t>
        <w:br/>
        <w:br/>
      </w:r>
    </w:p>
    <w:p>
      <w:pPr>
        <w:pStyle w:val="Title"/>
      </w:pPr>
      <w:r>
        <w:t>Most Co-Relation Features</w:t>
      </w:r>
    </w:p>
    <w:p>
      <w:r>
        <w:t xml:space="preserve">  Based on the provided Feature Importance matrix, I have analyzed the most correlated features in</w:t>
        <w:br/>
        <w:t>the dataset.  The strongest correlation feature in the dataset is HBGI with a correlation</w:t>
        <w:br/>
        <w:t>coefficient of 1.520735. This feature is highly correlated with the risk feature, indicating that</w:t>
        <w:br/>
        <w:t>HBGI has a significant impact on risk.  On the other hand, the weakest correlation feature in the</w:t>
        <w:br/>
        <w:t>dataset is LBGI with a correlation coefficient of 0.124560. This feature has a relatively weak</w:t>
        <w:br/>
        <w:t>correlation with the risk feature, suggesting that LBGI may not have a significant impact on risk.</w:t>
        <w:br/>
        <w:t>Trends and patterns in the dataset include:  * HBGI and Risk are highly correlated, indicating that</w:t>
        <w:br/>
        <w:t>these features are closely related. * LBGI has a weak correlation with Risk, suggesting that it may</w:t>
        <w:br/>
        <w:t>not be a significant predictor of risk.  In summary, the most correlated features in the dataset are</w:t>
        <w:br/>
        <w:t>HBGI and Risk, while LBGI has a weak correlation with Risk. These findings can be useful in</w:t>
        <w:br/>
        <w:t>identifying the most important features for predicting risk in the dataset.</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BG.png"/>
                    <pic:cNvPicPr/>
                  </pic:nvPicPr>
                  <pic:blipFill>
                    <a:blip r:embed="rId13"/>
                    <a:stretch>
                      <a:fillRect/>
                    </a:stretch>
                  </pic:blipFill>
                  <pic:spPr>
                    <a:xfrm>
                      <a:off x="0" y="0"/>
                      <a:ext cx="4572000" cy="4572000"/>
                    </a:xfrm>
                    <a:prstGeom prst="rect"/>
                  </pic:spPr>
                </pic:pic>
              </a:graphicData>
            </a:graphic>
          </wp:inline>
        </w:drawing>
      </w:r>
    </w:p>
    <w:p>
      <w:r>
        <w:t>The image displays a blue bar graph with a single blue bar, which is likely a representation of a single variable. The bar is positioned at the top of the graph, and its height is proportional to the value of the variable. The bar's color is consistent with the rest of the graph, which is blue. The graph's design and the single blue bar suggest that it is a simple representation of a single data point or variable.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