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monitoring (CGM) data over a period of 8 hours, from 6:00 AM to 8:00 PM on October 25, 2023. The patients' ages range from adolescence to adulthood, and their risk levels vary from low to high. The dataset also includes the patients' HbA1c (HBGI) levels, which provide a long-term view of their blood sugar control.</w:t>
        <w:br/>
        <w:br/>
        <w:t>The data shows a wide range of blood glucose levels throughout the day, with some patients experiencing significant fluctuations. For example, patient 15 has a BG level of 139.4 mg/dL at 7:25 AM, which is much higher than the other patients' levels at the same time. Similarly, patient 22 has a BG level of 213.6 mg/dL at 8:00 PM, which is significantly higher than the other patients' levels at that time.</w:t>
        <w:br/>
        <w:br/>
        <w:t>The CGM data provides a more detailed view of the patients' blood sugar levels throughout the day, showing the ups and downs of their glucose levels in real-time. The data</w:t>
      </w:r>
    </w:p>
    <w:p>
      <w:pPr>
        <w:pStyle w:val="Title"/>
      </w:pPr>
      <w:r>
        <w:t>Summary Statistics</w:t>
      </w:r>
    </w:p>
    <w:p>
      <w:r>
        <w:t xml:space="preserve"> Based on the provided dataset, here are the key statistics and insights: 1.</w:t>
        <w:br/>
        <w:t>Count: The total</w:t>
        <w:br/>
        <w:t>count of observations in the dataset is 31168.</w:t>
        <w:br/>
        <w:t>2.</w:t>
        <w:br/>
        <w:t>Mean: The mean value of BG, CGM, CHO, insulin, and</w:t>
        <w:br/>
        <w:t>LBGI is 110.049377, 113.415463, 39.000000, 0.015530, and 3.024100, respectively.</w:t>
        <w:br/>
        <w:t>3.</w:t>
        <w:br/>
        <w:t>Standard</w:t>
        <w:br/>
        <w:t>Deviation: The standard deviation of BG, CGM, CHO, insulin, and LBGI is 47.321084, 47.528440,</w:t>
        <w:br/>
        <w:t>47.321084, 0.006479, and 4.352423, respectively.</w:t>
        <w:br/>
        <w:t>4.</w:t>
        <w:br/>
        <w:t>Minimum: The minimum value of BG, CGM, CHO,</w:t>
        <w:br/>
        <w:t>insulin, and LBGI is 6.601303, 39.000000, 0.006575, 0.000000, and 0.000000, respectively.</w:t>
        <w:br/>
        <w:t>5.</w:t>
        <w:br/>
        <w:t>25th</w:t>
        <w:br/>
        <w:br/>
      </w:r>
    </w:p>
    <w:p>
      <w:pPr>
        <w:pStyle w:val="Title"/>
      </w:pPr>
      <w:r>
        <w:t>Most Co-Relation Features</w:t>
      </w:r>
    </w:p>
    <w:p>
      <w:r>
        <w:t xml:space="preserve">  Based on the provided Feature Importance matrix, I have analyzed the most correlated features in</w:t>
        <w:br/>
        <w:t>the dataset. Here are my findings:  Strongest Correlation: The variable with the strongest</w:t>
        <w:br/>
        <w:t>correlation is "HBGI" with a value of 1.520735. This variable is highly correlated with the target</w:t>
        <w:br/>
        <w:t>variable "Risk" (correlation coefficient = 0.383776), indicating that changes in "HBGI" have a</w:t>
        <w:br/>
        <w:t>significant impact on the "Risk" variable.  Weakest Correlation: The variable with the weakest</w:t>
        <w:br/>
        <w:t>correlation is "LBGI" with a value of 0.124560. This variable has a relatively low correlation</w:t>
        <w:br/>
        <w:t>coefficient of 0.124560, indicating that changes in "LBGI" have a limited impact on the "Risk"</w:t>
        <w:br/>
        <w:t>variable.  Trends or Patterns: There is a clear trend in the correlation matrix, where the variables</w:t>
        <w:br/>
        <w:t>that are related to the "HBGI" feature have a higher correlation coefficient than the variables</w:t>
        <w:br/>
        <w:t>related to the "LBGI" feature. This suggests that changes in the "HBGI" feature have a more</w:t>
        <w:br/>
        <w:t>significant impact on the "Risk" variable than changes in the "LBGI" feature.  Summary: In summary,</w:t>
        <w:br/>
        <w:t>the most correlated features</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