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observations and trends:</w:t>
        <w:br/>
        <w:br/>
        <w:t>1. Time of day: The dataset is collected over a period of 8 hours, from 6:00 AM to 8:00 PM, with a sampling frequency of 10 minutes.</w:t>
        <w:br/>
        <w:t>2. Blood glucose levels: The dataset shows a wide range of blood glucose levels, with the highest level recorded at 126.589661 mg/dL at 6:05 AM, and the lowest level recorded at 79.427204 mg/dL at 7:40 AM.</w:t>
        <w:br/>
        <w:t>3. Insulin dosage: The dataset shows a consistent increase in insulin dosage throughout the day, with the highest dose recorded at 128.259611 mU/mL at 6:20 AM, and the lowest dose recorded at 10.797267 mU/mL at 7:45 AM.</w:t>
        <w:br/>
        <w:t>4. Risk level: The dataset indicates that the patient's risk level is moderate, with a average blood glucose level of 144.116940 mg/dL.</w:t>
        <w:br/>
        <w:t>5. Patient demographics: The patient is an adolescent, with a</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w:t>
        <w:br/>
        <w:t>110.049377, 113.415463, 39.000000, 0.015530, and 3.024100, respectively.</w:t>
        <w:br/>
        <w:t>3.</w:t>
        <w:br/>
        <w:t>Standard Deviation: The</w:t>
        <w:br/>
        <w:t>standard deviation of BG, CGM, CHO, insulin, and LBGI is 47.321084, 47.528440, 47.321084, 0.006479,</w:t>
        <w:br/>
        <w:t>and 4.352423, respectively.</w:t>
        <w:br/>
        <w:t>4.</w:t>
        <w:br/>
        <w:t>Minimum: The minimum value of BG, CGM, CHO, insulin, and LBGI is</w:t>
        <w:br/>
        <w:t>6.601303, 39.000000, 0.006575, 0.006575, and 0.000000, respectively.</w:t>
        <w:br/>
        <w:t>5.</w:t>
        <w:br/>
        <w:t>25th Percentile: The</w:t>
        <w:br/>
        <w:br/>
      </w:r>
    </w:p>
    <w:p>
      <w:pPr>
        <w:pStyle w:val="Title"/>
      </w:pPr>
      <w:r>
        <w:t>Most Co-Relation Features</w:t>
      </w:r>
    </w:p>
    <w:p>
      <w:r>
        <w:t xml:space="preserve">  Based on the provided Feature Importance matrix, I have analyzed the most correlated features in</w:t>
        <w:br/>
        <w:t>the dataset.  The strongest correlation feature in the dataset is HBGI with a correlation</w:t>
        <w:br/>
        <w:t>coefficient of 1.520735. This feature is highly correlated with the other features in the dataset,</w:t>
        <w:br/>
        <w:t>indicating that it plays a significant role in determining the outcome of the target variable.  On</w:t>
        <w:br/>
        <w:t>the other hand, the variable with the weakest correlation feature is LBGI with a correlation</w:t>
        <w:br/>
        <w:t>coefficient of 0.124560. This feature has a relatively low correlation with the other features in</w:t>
        <w:br/>
        <w:t>the dataset, suggesting that it may not be as important in determining the outcome of the target</w:t>
        <w:br/>
        <w:t>variable.  Upon further analysis, I noticed that the correlation between HBGI and Risk is relatively</w:t>
        <w:br/>
        <w:t>high (0.383776), indicating that these two features are closely related. This trend is consistent</w:t>
        <w:br/>
        <w:t>with the idea that HBGI is a measure of the complexity of a credit application, and Risk is a</w:t>
        <w:br/>
        <w:t>measure of the likelihood of default.  In summary, the most correlated features in the dataset are</w:t>
        <w:br/>
        <w:t>HBGI and Risk, with HBGI being the strongest correlation feature. The variable with the weakest</w:t>
        <w:br/>
        <w:t>correlation feature is LBGI. These findings suggest that HBGI and Risk are closely related and play</w:t>
        <w:br/>
        <w:t>a significant role</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BG.png"/>
                    <pic:cNvPicPr/>
                  </pic:nvPicPr>
                  <pic:blipFill>
                    <a:blip r:embed="rId13"/>
                    <a:stretch>
                      <a:fillRect/>
                    </a:stretch>
                  </pic:blipFill>
                  <pic:spPr>
                    <a:xfrm>
                      <a:off x="0" y="0"/>
                      <a:ext cx="4572000" cy="4572000"/>
                    </a:xfrm>
                    <a:prstGeom prst="rect"/>
                  </pic:spPr>
                </pic:pic>
              </a:graphicData>
            </a:graphic>
          </wp:inline>
        </w:drawing>
      </w:r>
    </w:p>
    <w:p>
      <w:r>
        <w:t>The image displays a blue bar graph with a single blue bar, which is likely a representation of a single variable. The bar is positioned at the top of the graph, and its height is proportional to the value of the variable. The bar's color is consistent with the rest of the graph, which is blue. The graph's design and the single blue bar suggest that it is a simple representation of a single data point or variable.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