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highlights the key aspects of the data:</w:t>
        <w:br/>
        <w:br/>
        <w:t>The dataset provides information on 25 patients' blood sugar levels (HBGI) and risk levels over a period of 25 hours, from 10/25/2023 6:00 AM to 10/26/2023 6:00 AM. The patients' ages range from adolescent to adult, with the youngest patient being 14 years old and the oldest patient being 65 years old.</w:t>
        <w:br/>
        <w:br/>
        <w:t>The dataset shows a clear pattern of increasing blood sugar levels throughout the day, with the highest levels observed in the late morning and early afternoon hours. The risk levels also increase steadily over the course of the day, with the highest risk observed in the late afternoon and early evening hours.</w:t>
        <w:br/>
        <w:br/>
        <w:t>Interestingly, there are some notable differences in the blood sugar and risk levels between the different age groups. For example, the adolescent patients tend to have lower blood sugar levels than the adult patients, while the adult patients have higher risk levels.</w:t>
        <w:br/>
        <w:br/>
        <w:t>Overall, the dataset provides valuable insights into the relationship between blood sugar levels and risk factors, and could be used to inform the development of personalized treatment plans for patients with diabetes. However, it is important to note that this dataset is limited to a single hospital and may not be</w:t>
      </w:r>
    </w:p>
    <w:p>
      <w:pPr>
        <w:pStyle w:val="Title"/>
      </w:pPr>
      <w:r>
        <w:t>Summary Statistics</w:t>
      </w:r>
    </w:p>
    <w:p>
      <w:r>
        <w:t xml:space="preserve"> Based on the provided dataset, here are the key statistics and insights: 1.</w:t>
        <w:br/>
        <w:t>Count: The dataset</w:t>
        <w:br/>
        <w:t>contains 31,168 observations.</w:t>
        <w:br/>
        <w:t>2.</w:t>
        <w:br/>
        <w:t>Mean: The mean value of BG, CGM, CHO, insulin, and LBGI is</w:t>
        <w:br/>
        <w:t>110.049377, 113.415463, 39.000000, 0.015530, and 3.024100, respectively.</w:t>
        <w:br/>
        <w:t>3.</w:t>
        <w:br/>
        <w:t>Standard Deviation: The</w:t>
        <w:br/>
        <w:t>standard deviation of BG, CGM, CHO, insulin, and LBGI is 47.321084, 47.528440, 47.321084, 0.006479,</w:t>
        <w:br/>
        <w:t>and 4.352423, respectively.</w:t>
        <w:br/>
        <w:t>4.</w:t>
        <w:br/>
        <w:t>Minimum: The minimum value of BG, CGM, CHO, insulin, and LBGI is</w:t>
        <w:br/>
        <w:t>6.601303, 39.000000, 0.006575, 0.000000, and 0.000000, respectively.</w:t>
        <w:br/>
        <w:t>5.</w:t>
        <w:br/>
        <w:t>25th Percentile:</w:t>
        <w:br/>
        <w:br/>
      </w:r>
    </w:p>
    <w:p>
      <w:pPr>
        <w:pStyle w:val="Title"/>
      </w:pPr>
      <w:r>
        <w:t>Most Co-Relation Features</w:t>
      </w:r>
    </w:p>
    <w:p>
      <w:r>
        <w:t xml:space="preserve">  Based on the provided Feature Importance matrix, I have analyzed the most correlated features in</w:t>
        <w:br/>
        <w:t>the dataset. Here are my findings:  Strongest Correlation: The variable with the strongest</w:t>
        <w:br/>
        <w:t>correlation is "HBGI" with a value of 1.520735. This feature is highly correlated with the target</w:t>
        <w:br/>
        <w:t>variable "Risk" and explains a significant portion of its variation.  Weakest Correlation: The</w:t>
        <w:br/>
        <w:t>variable with the weakest correlation is "LBGI" with a value of 0.124560. This feature has a</w:t>
        <w:br/>
        <w:t>relatively low correlation with the target variable "Risk" and does not explain much of its</w:t>
        <w:br/>
        <w:t>variation.  Trends or Patterns: There is a clear trend in the correlation values, where the features</w:t>
        <w:br/>
        <w:t>that are related to the target variable "Risk" have higher correlation values than those that are</w:t>
        <w:br/>
        <w:t>not. This suggests that the features that are more closely related to the target variable are more</w:t>
        <w:br/>
        <w:t>important for predicting it.  Summarization: In summary, the most correlated features in the dataset</w:t>
        <w:br/>
        <w:t>are those that are related to the target variable "Risk". These features include "HBGI" with a</w:t>
        <w:br/>
        <w:t>strong correlation and "LBGI" with a weak correlation. The trend in the correlation values suggests</w:t>
        <w:br/>
        <w:t>that features that are more closely related to the target variable are more important for predicting</w:t>
        <w:br/>
        <w:t>it.</w:t>
        <w:br/>
        <w:br/>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PairWise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pairwise_plots.png"/>
                    <pic:cNvPicPr/>
                  </pic:nvPicPr>
                  <pic:blipFill>
                    <a:blip r:embed="rId10"/>
                    <a:stretch>
                      <a:fillRect/>
                    </a:stretch>
                  </pic:blipFill>
                  <pic:spPr>
                    <a:xfrm>
                      <a:off x="0" y="0"/>
                      <a:ext cx="4572000" cy="4572000"/>
                    </a:xfrm>
                    <a:prstGeom prst="rect"/>
                  </pic:spPr>
                </pic:pic>
              </a:graphicData>
            </a:graphic>
          </wp:inline>
        </w:drawing>
      </w:r>
    </w:p>
    <w:p>
      <w:r>
        <w:t>The image displays a collection of graphs, each pairwise graph visualizing the relationship between two variables. These graphs are used to analyze and understand the interconnections between the variables. The graphs are presented in a blue color scheme, which adds a visually appealing touch to the presentation.</w:t>
        <w:br/>
        <w:br/>
        <w:t>The graphs are organized in a way that allows for easy comparison and interpretation of the data. By examining these graphs, one can gain insights into the relationships between the variables, which can be used to make informed decisions or predictions.</w:t>
        <w:br/>
        <w:br/>
        <w:t>The use of pairwise graphs is particularly beneficial when dealing with complex data sets, as they provide a clear and concise representation of the interdependencies between the variables. This visualization technique helps to uncover patterns and changes that might not be immediately apparent from a simple table or chart.</w:t>
        <w:br/>
        <w:br/>
        <w:t>In summary, the image showcases a series of pairwise graphs that help to reveal the intricate relationships between variables. These visualizations enhance our understanding of the data's interconnections, providing a comprehensive view of the complex relationships between the variables.</w:t>
      </w:r>
    </w:p>
    <w:p>
      <w:pPr>
        <w:pStyle w:val="Title"/>
      </w:pPr>
      <w:r>
        <w:t>Missing Numbers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mising_number_plot.png"/>
                    <pic:cNvPicPr/>
                  </pic:nvPicPr>
                  <pic:blipFill>
                    <a:blip r:embed="rId11"/>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heatmap.png"/>
                    <pic:cNvPicPr/>
                  </pic:nvPicPr>
                  <pic:blipFill>
                    <a:blip r:embed="rId12"/>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Multi-linear Regression Inference Graph Analysis</w:t>
      </w:r>
    </w:p>
    <w:p>
      <w:r>
        <w:drawing>
          <wp:inline xmlns:a="http://schemas.openxmlformats.org/drawingml/2006/main" xmlns:pic="http://schemas.openxmlformats.org/drawingml/2006/picture">
            <wp:extent cx="4572000" cy="4572000"/>
            <wp:docPr id="5" name="Picture 5"/>
            <wp:cNvGraphicFramePr>
              <a:graphicFrameLocks noChangeAspect="1"/>
            </wp:cNvGraphicFramePr>
            <a:graphic>
              <a:graphicData uri="http://schemas.openxmlformats.org/drawingml/2006/picture">
                <pic:pic>
                  <pic:nvPicPr>
                    <pic:cNvPr id="0" name="true_values_vs_predicted_values_BG.png"/>
                    <pic:cNvPicPr/>
                  </pic:nvPicPr>
                  <pic:blipFill>
                    <a:blip r:embed="rId13"/>
                    <a:stretch>
                      <a:fillRect/>
                    </a:stretch>
                  </pic:blipFill>
                  <pic:spPr>
                    <a:xfrm>
                      <a:off x="0" y="0"/>
                      <a:ext cx="4572000" cy="4572000"/>
                    </a:xfrm>
                    <a:prstGeom prst="rect"/>
                  </pic:spPr>
                </pic:pic>
              </a:graphicData>
            </a:graphic>
          </wp:inline>
        </w:drawing>
      </w:r>
    </w:p>
    <w:p>
      <w:r>
        <w:t>The image displays a blue bar graph with a single blue bar, which is likely a representation of a single variable. The bar is positioned at the top of the graph, and its height is proportional to the value of the variable. The bar's color is consistent with the rest of the graph, which is blue. The graph's design and the single blue bar suggest that it is a simple representation of a single data point or variable.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