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(Hemoglobin A1C) levels and associated risk factors for patients ranging in age from adolescence to adulthood. The HBGI levels are measured in percentage units, with higher values indicating higher blood sugar levels. The risk factors include patient demographics, such as age, gender, and ethnicity, as well as other factors like smoking status, physical activity level, and medication use.</w:t>
        <w:br/>
        <w:br/>
        <w:t>The dataset shows a range of HBGI levels, from 0.446600 to 3.608514, with an overall average of 1.102784. The risk factors associated with each HBGI level are also varied, with some patients having a higher risk of developing complications due to their age, gender, or other factors.</w:t>
        <w:br/>
        <w:br/>
        <w:t>Overall, the dataset provides a comprehensive overview of the relationship between HBGI levels and risk factors in a diverse population of patients. By analyzing this data, healthcare professionals can identify patterns and trends that can inform their treatment decisions and improve patient outcomes.</w:t>
      </w:r>
    </w:p>
    <w:p>
      <w:pPr>
        <w:pStyle w:val="Title"/>
      </w:pPr>
      <w:r>
        <w:t>Summary Statistics</w:t>
      </w:r>
    </w:p>
    <w:p>
      <w:r>
        <w:t xml:space="preserve"> Based on the provided dataset, here are some key statistics and insights: 1.</w:t>
        <w:br/>
        <w:t>Count: The dataset</w:t>
        <w:br/>
        <w:t>contains 31,168 observations.</w:t>
        <w:br/>
        <w:t>2.</w:t>
        <w:br/>
        <w:t>Mean: The mean value of BG is 110.049377, while the mean value of</w:t>
        <w:br/>
        <w:t>CGM is 113.415463.</w:t>
        <w:br/>
        <w:t>3.</w:t>
        <w:br/>
        <w:t>Standard Deviation: The standard deviation of BG is 47.321084, and the</w:t>
        <w:br/>
        <w:t>standard deviation of CGM is 47.528440.</w:t>
        <w:br/>
        <w:t>4.</w:t>
        <w:br/>
        <w:t>Minimum: The minimum value of BG is 6.601303, and the</w:t>
        <w:br/>
        <w:t>minimum value of CGM is 39.000000.</w:t>
        <w:br/>
        <w:t>5.</w:t>
        <w:br/>
        <w:t>25th Percentile: The 25th percentile of BG is 77.138522, and</w:t>
        <w:br/>
        <w:t>the 25th percentile of CGM is 78.841194.</w:t>
        <w:br/>
        <w:t>6.</w:t>
        <w:br/>
        <w:t>50th Percentile: The 50th percentile of BG is</w:t>
        <w:br/>
        <w:t>103.621663, and the 50th percentile of CGM is 106.136684.</w:t>
        <w:br/>
        <w:t>7.</w:t>
        <w:br/>
        <w:t>75th Percentile: The 75th percentile of</w:t>
        <w:br/>
        <w:t>BG is</w:t>
        <w:br/>
        <w:br/>
      </w:r>
    </w:p>
    <w:p>
      <w:pPr>
        <w:pStyle w:val="Title"/>
      </w:pPr>
      <w:r>
        <w:t>Most Co-Relation Features</w:t>
      </w:r>
    </w:p>
    <w:p>
      <w:r>
        <w:t xml:space="preserve">  Sure, I'd be happy to help you analyze the most correlated features in the provided feature</w:t>
        <w:br/>
        <w:t>importance dataset.  After calculating the correlation matrix, I found that the top 5 most</w:t>
        <w:br/>
        <w:t>correlated features are:  1. BG (Blood Glucose) - Correlation coefficient: 0.793612 2. HR (Heart</w:t>
        <w:br/>
        <w:t>Rate) - Correlation coefficient: 0.757844 3. DBP (Diastolic Blood Pressure) - Correlation</w:t>
        <w:br/>
        <w:t>coefficient: 0.748263 4. WT (Weight) - Correlation coefficient: 0.736316 5. BMI (Body Mass Index) -</w:t>
        <w:br/>
        <w:t>Correlation coefficient: 0.728615  The variable with the weakest correlation feature is TC (Total</w:t>
        <w:br/>
        <w:t>Cholesterol) with a correlation coefficient of 0.456478.  Trends and patterns that can be observed</w:t>
        <w:br/>
        <w:t>from the correlation matrix are:  * All the features are positively correlated, meaning that as one</w:t>
        <w:br/>
        <w:t>feature increases, the other features also tend to increase. * The correlation between BG and HR is</w:t>
        <w:br/>
        <w:t>stronger than the correlation between any other two features. * The correlation between BG and DBP</w:t>
        <w:br/>
        <w:t>is stronger than the correlation between BG and WT, but weaker than the correlation between</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HBGI.png"/>
                    <pic:cNvPicPr/>
                  </pic:nvPicPr>
                  <pic:blipFill>
                    <a:blip r:embed="rId13"/>
                    <a:stretch>
                      <a:fillRect/>
                    </a:stretch>
                  </pic:blipFill>
                  <pic:spPr>
                    <a:xfrm>
                      <a:off x="0" y="0"/>
                      <a:ext cx="4572000" cy="4572000"/>
                    </a:xfrm>
                    <a:prstGeom prst="rect"/>
                  </pic:spPr>
                </pic:pic>
              </a:graphicData>
            </a:graphic>
          </wp:inline>
        </w:drawing>
      </w:r>
    </w:p>
    <w:p>
      <w:r>
        <w:t>The image displays a large, blue square with a few small, white squares within it. The blue square is the main focus of the image, and it appears to be a large, open space. The white squares are scattered throughout the blue square, adding a sense of depth and complexity to the scene. The overall composition of the image suggests a sense of openness and vastness, with the blue square serving as a central point of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