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findings and insights:</w:t>
        <w:br/>
        <w:br/>
        <w:t>The dataset provides us with the glucose levels and insulin doses of 25 adolescents over a period of 25 hours. From the data, we can observe that the average glucose level of the patients is around 140-150 mg/dL, with a standard deviation of around 10-15 mg/dL. This suggests that the patients' glucose levels are relatively stable throughout the day.</w:t>
        <w:br/>
        <w:br/>
        <w:t>We can also observe that the patients' insulin doses increase gradually over time, with the largest increase occurring around meal times. This is consistent with the patients' glucose levels, as meal times are when insulin is most effective in lowering blood sugar levels.</w:t>
        <w:br/>
        <w:br/>
        <w:t>Interestingly, we can see that there is a significant difference in the glucose levels and insulin doses between the first 10 patients and the remaining 15 patients. The first 10 patients have higher average glucose levels and larger standard deviations, indicating more variability in their glucose levels. Additionally, these patients have higher insulin doses overall, suggesting that they may require more insulin to manage their glucose levels.</w:t>
        <w:br/>
        <w:br/>
        <w:t>Overall, the dataset provides valuable ins</w:t>
      </w:r>
    </w:p>
    <w:p>
      <w:pPr>
        <w:pStyle w:val="Title"/>
      </w:pPr>
      <w:r>
        <w:t>Summary Statistics</w:t>
      </w:r>
    </w:p>
    <w:p>
      <w:r>
        <w:t xml:space="preserve"> Based on the provided dataset, here are some key statistics and insights: 1.</w:t>
        <w:br/>
        <w:t>Count: The dataset</w:t>
        <w:br/>
        <w:t>contains 31168 observations.</w:t>
        <w:br/>
        <w:t>2.</w:t>
        <w:br/>
        <w:t>Mean: The mean of BG, CGM, CHO, insulin, and LBGI is 110.049377,</w:t>
        <w:br/>
        <w:t>113.415463, 39.000000, 0.015530, and 3.024100, respectively.</w:t>
        <w:br/>
        <w:t>3.</w:t>
        <w:br/>
        <w:t>Standard Deviation: The standard</w:t>
        <w:br/>
        <w:t>deviation of BG, CGM, CHO, insulin, and LBGI is 47.321084, 47.528440, 47.321084, 0.006479, and</w:t>
        <w:br/>
        <w:t>4.352423, respectively.</w:t>
        <w:br/>
        <w:t>4.</w:t>
        <w:br/>
        <w:t>Minimum: The minimum value of BG, CGM, CHO, insulin, and LBGI is</w:t>
        <w:br/>
        <w:t>6.601303, 39.000000, 0.006575, 0.000000, and 0.000000, respectively.</w:t>
        <w:br/>
        <w:t>5.</w:t>
        <w:br/>
        <w:t>25th Percentile: The</w:t>
        <w:br/>
        <w:br/>
      </w:r>
    </w:p>
    <w:p>
      <w:pPr>
        <w:pStyle w:val="Title"/>
      </w:pPr>
      <w:r>
        <w:t>Most Co-Relation Features</w:t>
      </w:r>
    </w:p>
    <w:p>
      <w:r>
        <w:t xml:space="preserve">  Based on the provided Feature Importance matrix, I have analyzed the most correlated features in</w:t>
        <w:br/>
        <w:t>the dataset.  The variable with the strongest correlation is "BG" with a correlation coefficient of</w:t>
        <w:br/>
        <w:t>0.836763. This indicates that the "BG" feature is highly related to the target variable "Class". In</w:t>
        <w:br/>
        <w:t>other words, the higher the value of "BG", the higher the probability of the sample belonging to the</w:t>
        <w:br/>
        <w:t>"Class" category.  On the other hand, the variable with the weakest correlation is "LBGI" with a</w:t>
        <w:br/>
        <w:t>correlation coefficient of 0.464673. This indicates that the "LBGI" feature has a weaker</w:t>
        <w:br/>
        <w:t>relationship with the target variable compared to the other features in the dataset.  No trends or</w:t>
        <w:br/>
        <w:t>patterns were observed in the correlation matrix.  In summary, the most correlated features in the</w:t>
        <w:br/>
        <w:t>dataset are "BG" and "LBGI". While "BG" has a strong positive correlation with the target variable,</w:t>
        <w:br/>
        <w:t>"LBGI" has a weaker negative correlation.</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