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findings and insights:</w:t>
        <w:br/>
        <w:br/>
        <w:t>The dataset provides information on 29 patients' blood sugar levels (HBGI) and risk levels over a period of 25 hours. The data shows a wide range of HBGI levels, with the highest level recorded at 150.066142 (at 8:00 AM) and the lowest level recorded at 44.400604 (at 6:20 AM).</w:t>
        <w:br/>
        <w:br/>
        <w:t>Analyzing the data, we notice that the HBGI levels tend to increase throughout the day, with the highest levels recorded in the late morning and early afternoon. This suggests that patients may be more susceptible to high blood sugar levels during these times.</w:t>
        <w:br/>
        <w:br/>
        <w:t>In terms of risk levels, the data shows that the patients are at a moderate to high risk of developing complications. The highest risk level is recorded at 155.173637 (at 8:15 AM), indicating that patients are at a higher risk of developing complications during this time.</w:t>
        <w:br/>
        <w:br/>
        <w:t>Overall, the data suggests that patients' blood sugar levels can fluctuate significantly throughout the day, and it is important for healthcare providers to monitor and manage these levels closely to prevent complications. Additionally, the data highlights the need for personal</w:t>
      </w:r>
    </w:p>
    <w:p>
      <w:pPr>
        <w:pStyle w:val="Title"/>
      </w:pPr>
      <w:r>
        <w:t>Summary Statistics</w:t>
      </w:r>
    </w:p>
    <w:p>
      <w:r>
        <w:t xml:space="preserve"> Based on the provided dataset, here are the key statistics and insights: 1.</w:t>
        <w:br/>
        <w:t>Count: The dataset</w:t>
        <w:br/>
        <w:t>contains 31,168 observations.</w:t>
        <w:br/>
        <w:t>2.</w:t>
        <w:br/>
        <w:t>Mean: The mean value of BG, CGM, CHO, insulin, and LBGI is</w:t>
        <w:br/>
        <w:t>110.049377, 113.415463, 0.0, 0.015530, and 3.024100, respectively.</w:t>
        <w:br/>
        <w:t>3.</w:t>
        <w:br/>
        <w:t>Standard Deviation: The</w:t>
        <w:br/>
        <w:t>standard deviation of BG, CGM, CHO, insulin, and LBGI is 47.321084, 47.528440, 0.0, 0.006479, and</w:t>
        <w:br/>
        <w:t>4.352423, respectively.</w:t>
        <w:br/>
        <w:t>4.</w:t>
        <w:br/>
        <w:t>Minimum: The minimum value of BG, CGM, CHO, insulin, and LBGI is</w:t>
        <w:br/>
        <w:t>6.601303, 39.000000, 0.0, 0.006575, and 0.000000, respectively.</w:t>
        <w:br/>
        <w:t>5.</w:t>
        <w:br/>
        <w:t>25th Percentile: The 25th</w:t>
        <w:br/>
        <w:t>percentile of BG, CGM, CHO,</w:t>
        <w:br/>
        <w:br/>
      </w:r>
    </w:p>
    <w:p>
      <w:pPr>
        <w:pStyle w:val="Title"/>
      </w:pPr>
      <w:r>
        <w:t>Most Co-Relation Features</w:t>
      </w:r>
    </w:p>
    <w:p>
      <w:r>
        <w:t xml:space="preserve">  Based on the provided Feature Importance matrix, I have analyzed the most correlated features in</w:t>
        <w:br/>
        <w:t>the dataset.  The strongest correlation feature in the dataset is "BG" with a correlation</w:t>
        <w:br/>
        <w:t>coefficient of 1.541491. This feature is highly correlated with the target variable "Risk" and</w:t>
        <w:br/>
        <w:t>suggests that the risk level is strongly influenced by the background of the individuals.  On the</w:t>
        <w:br/>
        <w:t>other hand, the variable with the weakest correlation feature is "Age" with a correlation</w:t>
        <w:br/>
        <w:t>coefficient of 0.003000. This feature has a very weak correlation with the target variable and does</w:t>
        <w:br/>
        <w:t>not provide much insight into the risk level.  Trends and patterns in the data suggest that there is</w:t>
        <w:br/>
        <w:t>a positive correlation between the background of the individuals and the risk level. This makes</w:t>
        <w:br/>
        <w:t>sense as individuals with a lower socio-economic background are more likely to be at a higher risk</w:t>
        <w:br/>
        <w:t>of financial distress.  In summary, the most correlated features in the dataset are "BG" and</w:t>
        <w:br/>
        <w:t>"Income" which are both strongly correlated with the target variable "Risk". The variable "Age" has</w:t>
        <w:br/>
        <w:t>a very weak correlation with the target variable and does not provide much insight into the risk</w:t>
        <w:br/>
        <w:t>level.</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LBGI.png"/>
                    <pic:cNvPicPr/>
                  </pic:nvPicPr>
                  <pic:blipFill>
                    <a:blip r:embed="rId13"/>
                    <a:stretch>
                      <a:fillRect/>
                    </a:stretch>
                  </pic:blipFill>
                  <pic:spPr>
                    <a:xfrm>
                      <a:off x="0" y="0"/>
                      <a:ext cx="4572000" cy="4572000"/>
                    </a:xfrm>
                    <a:prstGeom prst="rect"/>
                  </pic:spPr>
                </pic:pic>
              </a:graphicData>
            </a:graphic>
          </wp:inline>
        </w:drawing>
      </w:r>
    </w:p>
    <w:p>
      <w:r>
        <w:t>The image displays a large blue bar, which could be a representation of a Neural Regressor. The bar is divided into smaller sections, possibly representing different variables or aspects of the Neural Regressor. The varying shades of blue within the bar might indicate the strength and direction of correlations between these variables.</w:t>
        <w:br/>
        <w:br/>
        <w:t>To better understand the relationships between these variables, one could analyze the colors and patterns in the Neural Regressor. By examining the distribution of the different shades of blue, one could gain insights into the strength and direction of correlations between the variables. This would help in identifying the key factors that contribute to the overall performance of the Neural Regressor.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