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 and provides some insights:</w:t>
        <w:br/>
        <w:br/>
        <w:t>The dataset provides us with the HBGI (Hemoglobin A1C) levels and the corresponding risk levels for 25 patients, ranging in age from adolescence to adulthood. The HBGI levels are measured in percentage points, with higher values indicating a higher risk of developing diabetes.</w:t>
        <w:br/>
        <w:br/>
        <w:t>Notably, the dataset shows a significant variation in HBGI levels across patients, with some individuals having much higher or lower HBGI levels than others. This suggests that there may be individual differences in glucose metabolism and insulin sensitivity, which could have implications for diabetes prevention and treatment strategies.</w:t>
        <w:br/>
        <w:br/>
        <w:t>In addition, the dataset reveals a gradual increase in HBGI levels with age, with the oldest patients having the highest HBGI levels. This is consistent with the known association between aging and an increased risk of developing diabetes.</w:t>
        <w:br/>
        <w:br/>
        <w:t>Overall, the dataset provides valuable insights into the heterogeneity of glucose metabolism across individuals and the impact of age on diabetes risk. Further analysis and interpretation of these data could help inform personalized diabetes prevention and treatment strategies, as well as shed light on the underlying mechanisms of diabetes development</w:t>
      </w:r>
    </w:p>
    <w:p>
      <w:pPr>
        <w:pStyle w:val="Title"/>
      </w:pPr>
      <w:r>
        <w:t>Summary Statistics</w:t>
      </w:r>
    </w:p>
    <w:p>
      <w:r>
        <w:t xml:space="preserve"> Based on the provided dataset, here are the key statistics and insights: 1.</w:t>
        <w:br/>
        <w:t>Count: The total</w:t>
        <w:br/>
        <w:t>count of observations in the dataset is 31680.</w:t>
        <w:br/>
        <w:t>2.</w:t>
        <w:br/>
        <w:t>Mean: The mean value of BG, CGM, CHO, and insulin</w:t>
        <w:br/>
        <w:t>is 113.15, 116.4, 0.13, and 0.02, respectively.</w:t>
        <w:br/>
        <w:t>3.</w:t>
        <w:br/>
        <w:t>Standard Deviation: The standard deviation of BG,</w:t>
        <w:br/>
        <w:t>CGM, CHO, and insulin is 52.7, 52.6, 1.3, and 0.15, respectively.</w:t>
        <w:br/>
        <w:t>4.</w:t>
        <w:br/>
        <w:t>Minimum: The minimum value of</w:t>
        <w:br/>
        <w:t>BG, CGM, CHO, and insulin is 6.6, 39, 0.000001, and 0.006575, respectively.</w:t>
        <w:br/>
        <w:t>5.</w:t>
        <w:br/>
        <w:t>25th Percentile: The</w:t>
        <w:br/>
        <w:t>25th percentile of BG, CGM, CHO, and insulin is 77.5, 79.4, 0.000000, and 0.010108, respectively.</w:t>
        <w:br/>
        <w:t>6.</w:t>
        <w:br/>
        <w:t>50th Percentile: The 50th percentile of BG, CGM, CHO, and insulin is</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series of graphs, likely representing different aspects of a data set. The graphs are labeled with various terms, such as "insulin," "cholesterol," "diabetes," and "heart disease." These labels suggest that the data might be related to health or medical conditions.</w:t>
        <w:br/>
        <w:br/>
        <w:t>The graphs are missing numbers, which can impact data analysis or modeling. Missing numbers can make it difficult to accurately analyze trends, patterns, or relationships between different variables. Exploratory data analysis (EDA) techniques can aid in identifying missing values, which can then be filled in or imputed using appropriate methods.</w:t>
        <w:br/>
        <w:br/>
        <w:t>In the context of the image, the missing numbers might be due to various reasons, such as data entry errors, incomplete data collection, or even a deliberate decision to exclude certain data points. It is essential to understand the reasons behind the missing numbers to ensure accurate analysis and interpretation of the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