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us with time-stamped measurements of glucose (BG), carbohydrate (CHO), insulin (insulin), and other variables for 25 patients over 25 time points. The patients' ages range from 10 to 18 years old, and their glucose levels vary significantly throughout the day.</w:t>
        <w:br/>
        <w:br/>
        <w:t>The data shows that the patients' glucose levels tend to peak in the morning and evening, around 6:00 AM and 6:00 PM, respectively. Additionally, the patients' glucose levels tend to be higher after meals, particularly those containing carbohydrates.</w:t>
        <w:br/>
        <w:br/>
        <w:t>The dataset also shows that there is a significant difference in the patients' glucose levels throughout the day, with some patients having higher levels than others. For example, patient 10 has a higher glucose level than patient 5 at time point 5.</w:t>
        <w:br/>
        <w:br/>
        <w:t>Overall, the dataset provides valuable insights into the glucose levels of children and adolescents over a 25-time point period, which can help healthcare professionals better understand the factors that affect glucose levels and develop personalized treatment plans for their patients.</w:t>
        <w:br/>
        <w:br/>
        <w:t>As an expert Data Scientist, I must emphasize that the interpretation of the data should be done</w:t>
      </w:r>
    </w:p>
    <w:p>
      <w:pPr>
        <w:pStyle w:val="Title"/>
      </w:pPr>
      <w:r>
        <w:t>Summary Statistics</w:t>
      </w:r>
    </w:p>
    <w:p>
      <w:r>
        <w:t xml:space="preserve"> Based on the provided dataset, here are some key statistics and insights: Mean: The mean value of</w:t>
        <w:br/>
        <w:t>BG, CGM, and CHO is 113.15, 116.4, and 6.6, respectively.</w:t>
        <w:br/>
        <w:t xml:space="preserve"> Standard Deviation: The standard</w:t>
        <w:br/>
        <w:t>deviation of BG, CGM, and CHO is 52.7, 52.6, and 1.3, respectively.</w:t>
        <w:br/>
        <w:t xml:space="preserve"> Minimum: The minimum value of</w:t>
        <w:br/>
        <w:t>BG, CGM, and CHO is 39, 39, and 0.000001, respectively.</w:t>
        <w:br/>
        <w:t xml:space="preserve"> 25th Percentile: The 25th percentile of BG,</w:t>
        <w:br/>
        <w:t>CGM, and CHO is 77.5, 79.4, and 0.000001, respectively.</w:t>
        <w:br/>
        <w:t xml:space="preserve"> 50th Percentile: The 50th percentile of BG,</w:t>
        <w:br/>
        <w:t>CGM, and CHO is 104.5, 107.0, and 0.000001, respectively.</w:t>
        <w:br/>
        <w:t xml:space="preserve"> 75th Percentile: The 75th percentile of</w:t>
        <w:br/>
        <w:t>BG, CGM, and CHO is 137.7, 143.4, and 0.000001, respectively.</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