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blood glucose levels (BG) and continuous glucose monitor (CGM) readings over a period of 8 hours, from 6:00 AM to 8:00 PM, on October 25, 2023. The patients' ages range from adolescence to adulthood, and their risk levels vary from low to high. The dataset also includes the patients' HbA1c (HBGI) levels, which indicate their average blood sugar control over the past 2-3 months.</w:t>
        <w:br/>
        <w:br/>
        <w:t>From the dataset, we can observe that the patients' blood glucose levels fluctuate throughout the day, with some patients showing more significant fluctuations than others. The CGM readings provide a more detailed picture of the patients' blood sugar levels, showing both the highs and lows throughout the day.</w:t>
        <w:br/>
        <w:br/>
        <w:t>The dataset also highlights the importance of considering the patients' age and risk level when analyzing their blood sugar data. Adolescent patients tend to have higher blood sugar levels and more significant fluctuations than adult patients, while patients at high risk for complications tend to have more stable blood sugar levels.</w:t>
        <w:br/>
        <w:br/>
        <w:t>Overall, the dataset provides valuable insights into the complex relationships between blood sugar levels, age, risk level</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0.13, and 0.02, respectively.</w:t>
        <w:br/>
        <w:t>3.</w:t>
        <w:br/>
        <w:t>Standard deviation: The standard deviation of BG, CGM, CHO, and</w:t>
        <w:br/>
        <w:t>insulin is 52.7, 52.6, 1.34, and 0.01, respectively.</w:t>
        <w:br/>
        <w:t>4.</w:t>
        <w:br/>
        <w:t>Minimum: The minimum value of BG, CGM, CHO,</w:t>
        <w:br/>
        <w:t>and insulin is 6.6, 39, 0.000001, and 0.006575, respectively.</w:t>
        <w:br/>
        <w:t>5.</w:t>
        <w:br/>
        <w:t>25th percentile: The 25th</w:t>
        <w:br/>
        <w:t>percentile of BG, CGM, CHO, and insulin is 77.5, 79.4, 0.000000, and 0.010108, respectively.</w:t>
        <w:br/>
        <w:t>6.</w:t>
        <w:br/>
        <w:t>50th</w:t>
        <w:br/>
        <w:t>percentile: The 50th percentile of BG, CGM, CHO, and insulin is 104.5,</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HBGI.png"/>
                    <pic:cNvPicPr/>
                  </pic:nvPicPr>
                  <pic:blipFill>
                    <a:blip r:embed="rId9"/>
                    <a:stretch>
                      <a:fillRect/>
                    </a:stretch>
                  </pic:blipFill>
                  <pic:spPr>
                    <a:xfrm>
                      <a:off x="0" y="0"/>
                      <a:ext cx="4572000" cy="4572000"/>
                    </a:xfrm>
                    <a:prstGeom prst="rect"/>
                  </pic:spPr>
                </pic:pic>
              </a:graphicData>
            </a:graphic>
          </wp:inline>
        </w:drawing>
      </w:r>
    </w:p>
    <w:p>
      <w:r>
        <w:t>The image displays a long, blue line that represents the top most correlated features from a correlation matrix. This line is a visual representation of the strongest relationships between variables in the dataset. The line's length and position on the graph can provide insights into the interdependence of these features.</w:t>
        <w:br/>
        <w:br/>
        <w:t>The strongest correlations indicate that the variables are highly related, and understanding these relationships can help in identifying the key features that contribute to the overall performance or outcome of the dataset. This information can be valuable for data analysis, modeling, and decision-making processes.</w:t>
        <w:br/>
        <w:br/>
        <w:t>In summary, the image presents a visual representation of the most correlated features from a correlation matrix, highlighting the strongest relationships between variables in the dataset. This information can be useful for understanding the interdependence of these features and making informed decisions based on the dataset's characteristics.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