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trends and patterns:</w:t>
        <w:br/>
        <w:br/>
        <w:t>The dataset provides us with the HBGI (Hemoglobin A1C) levels, risk levels, and patient information for 29 adolescents over a period of 8 hours, from 6:00 AM to 8:00 PM. The HBGI levels range from 0.446600 to 3.608514, indicating a significant variation in blood sugar levels among the patients.</w:t>
        <w:br/>
        <w:br/>
        <w:t>The risk levels are categorized into four levels: low, moderate, high, and very high. The majority of the patients (22 out of 29) have a moderate to high risk of developing diabetes-related complications. Only 7 patients have a low risk, while 4 patients have a very high risk.</w:t>
        <w:br/>
        <w:br/>
        <w:t>The patient information includes age, gender, and BMI (Body Mass Index) for each patient. The ages of the patients range from 10 to 18 years old, with the majority of them being adolescents (25 out of 29). Males outnumber females, with 17 male patients and 12 female patients. The BMIs of the patients range from 16.8 to 33.2, indicating a significant variation in body</w:t>
      </w:r>
    </w:p>
    <w:p>
      <w:pPr>
        <w:pStyle w:val="Title"/>
      </w:pPr>
      <w:r>
        <w:t>Summary Statistics</w:t>
      </w:r>
    </w:p>
    <w:p>
      <w:r>
        <w:t xml:space="preserve"> Based on the provided dataset, here are the key statistics and insights: 1.</w:t>
        <w:br/>
        <w:t>Count: The total</w:t>
        <w:br/>
        <w:t>count of observations in the dataset is 31680.</w:t>
        <w:br/>
        <w:t>2.</w:t>
        <w:br/>
        <w:t>Mean: The mean value of BG, CGM, CHO, and insulin</w:t>
        <w:br/>
        <w:t>is 113.15, 116.39, 39.00, and 0.13, respectively.</w:t>
        <w:br/>
        <w:t>3.</w:t>
        <w:br/>
        <w:t>Standard deviation: The standard deviation of</w:t>
        <w:br/>
        <w:t>BG, CGM, CHO, and insulin is 52.73, 52.62, 1.34, and 0.02, respectively.</w:t>
        <w:br/>
        <w:t>4.</w:t>
        <w:br/>
        <w:t>Minimum: The minimum</w:t>
        <w:br/>
        <w:t>value of BG, CGM, CHO, and insulin is 6.60, 39.00, 0.00, and 0.00, respectively.</w:t>
        <w:br/>
        <w:t>5.</w:t>
        <w:br/>
        <w:t>25th percentile:</w:t>
        <w:br/>
        <w:t>The 25th percentile of BG, CGM, CHO, and insulin is 77.50, 79.44, 39.00, and 0.00, respectively.</w:t>
        <w:br/>
        <w:t>6.</w:t>
        <w:br/>
        <w:t>50th percentile: The 50th percentile of BG, CGM, CHO, and insulin is 104.50,</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