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 (CGM) readings over a period of 25 hours, from 10/25/2023 6:00 AM to 10/26/2023 6:00 AM. The patients' ages range from adolescents to young adults, and their BG levels and CGM readings are recorded at various times throughout the day.</w:t>
        <w:br/>
        <w:br/>
        <w:t>From the dataset, we can observe that the patients' BG levels vary throughout the day, with some patients experiencing hyperglycemia (high BG levels) and others experiencing hypoglycemia (low BG levels). The CGM readings provide a more detailed picture of the patients' glucose levels, showing the dynamics of their glucose levels over time.</w:t>
        <w:br/>
        <w:br/>
        <w:t>It is important to note that this dataset does not provide information on the patients' medical histories, treatment plans, or other factors that may influence their BG levels. Therefore, any analysis or interpretation of the data should be made with caution and in conjunction with other relevant information.</w:t>
        <w:br/>
        <w:br/>
        <w:t>In general, the dataset provides a snapshot of the patients' glucose levels over a 25-hour period, highlighting the variability</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 and 0.0065, respectively.</w:t>
        <w:br/>
        <w:t>5.</w:t>
        <w:br/>
        <w:t>25th Percentile: The 25th percentile of BG,</w:t>
        <w:br/>
        <w:t>CGM, CHO, and insulin is 77.5, 79.4, 0, and 0.0101, respectively.</w:t>
        <w:br/>
        <w:t>6.</w:t>
        <w:br/>
        <w:t>50th Percentile: The 50th</w:t>
        <w:br/>
        <w:t>percentile of BG, CGM, CHO, and insulin is 104.5, 107.0, 0, and 0.01</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