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blood glucose levels (BG) and continuous glucose monitor (CGM) readings over a period of 25 hours, from 10/25/2023 6:00 AM to 10/26/2023 8:00 AM. The patients' ages range from adolescents to young adults, and their risk levels vary from low to high.</w:t>
        <w:br/>
        <w:br/>
        <w:t>The dataset shows a clear pattern of blood glucose levels throughout the day, with levels typically peaking after meals and decreasing overnight. The CGM readings provide a more detailed picture of the patients' glucose levels, showing both highs and lows throughout the day.</w:t>
        <w:br/>
        <w:br/>
        <w:t>Some notable observations from the dataset include:</w:t>
        <w:br/>
        <w:br/>
        <w:t>* The patients' blood glucose levels are generally within the normal range, with most levels falling between 70 and 180 mg/dL.</w:t>
        <w:br/>
        <w:t>* There is a noticeable spike in blood glucose levels after meals, particularly around 6:00 AM, 6:25 AM, 6:50 AM, and 7:05 AM.</w:t>
        <w:br/>
        <w:t>* Some patients experience high blood glucose levels overnight, particularly around 12:00 AM,</w:t>
      </w:r>
    </w:p>
    <w:p>
      <w:pPr>
        <w:pStyle w:val="Title"/>
      </w:pPr>
      <w:r>
        <w:t>Summary Statistics</w:t>
      </w:r>
    </w:p>
    <w:p>
      <w:r>
        <w:t xml:space="preserve"> Based on the provided dataset, here are the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1.34, and 0.02, respectively.</w:t>
        <w:br/>
        <w:t>4.</w:t>
        <w:br/>
        <w:t>Minimum: The minimum value of BG, CGM, CHO,</w:t>
        <w:br/>
        <w:t>and insulin is 6.6, 39, 0.000001, and 0.0000005, respectively.</w:t>
        <w:br/>
        <w:t>5.</w:t>
        <w:br/>
        <w:t>25th Percentile: The 25th</w:t>
        <w:br/>
        <w:t>percentile of BG, CGM, CHO, and insulin is 77.5, 79.4, 0.0000005, and 0.0101, respectively.</w:t>
        <w:br/>
        <w:t>6.</w:t>
        <w:br/>
        <w:t>50th</w:t>
        <w:br/>
        <w:t>Percentile: The 50th percentile of BG, CGM, CHO, and insulin is 104.</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LBGI.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most correlated features from a correlation matrix. The line is long and extends from the left to the right side of the graph. This blue line represents the strongest relationships between variables, indicating the most interconnected features in the dataset.</w:t>
        <w:br/>
        <w:br/>
        <w:t>The presence of such strong correlations can provide insights into the underlying patterns and relationships within the data. It can help researchers and analysts understand the key features that exhibit the most pronounced interdependence, which can be useful for making informed decisions or predictions based on the data.</w:t>
        <w:br/>
        <w:br/>
        <w:t>However, it is essential to consider the limitations of correlation analysis, as it may not always provide a complete understanding of the relationships between variables. Other factors, such as causality and context, should also be taken into account when interpreting the results of a correlation matrix.</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