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information:</w:t>
        <w:br/>
        <w:br/>
        <w:t>The dataset provides glucose readings (in mg/dL) and insulin doses (in units) for 25 adolescents over a period of 8 hours, from 6:00 AM to 8:00 PM on October 25, 2023. The readings are recorded every 15 minutes, with the last entry at 8:25 AM.</w:t>
        <w:br/>
        <w:br/>
        <w:t>The dataset shows a wide range of glucose levels, from 126.01 to 162.34 mg/dL, with an average of 139.07 mg/dL. The glucose levels fluctuate throughout the day, with the highest levels observed around 7:00 AM and the lowest levels around 1:00 PM.</w:t>
        <w:br/>
        <w:br/>
        <w:t>Insulin doses are also recorded, ranging from 0.4466 to 3.6085 units, with an average of 1.4784 units. The insulin doses appear to be highest around 7:00 AM and 1:00 PM, consistent with the typical insulin regimen for adolescents with diabetes.</w:t>
        <w:br/>
        <w:br/>
        <w:t>Overall, the dataset provides valuable information</w:t>
      </w:r>
    </w:p>
    <w:p>
      <w:pPr>
        <w:pStyle w:val="Title"/>
      </w:pPr>
      <w:r>
        <w:t>Summary Statistics</w:t>
      </w:r>
    </w:p>
    <w:p>
      <w:r>
        <w:t xml:space="preserve"> Based on the provided dataset, here are some key statistics and insights: Mean: The mean value of</w:t>
        <w:br/>
        <w:t>BG, CGM, and CHO is 113.15, 116.4, and 6.6, respectively.</w:t>
        <w:br/>
        <w:t xml:space="preserve"> Standard Deviation: The standard</w:t>
        <w:br/>
        <w:t>deviation of BG, CGM, and CHO is 52.7, 52.6, and 1.3, respectively.</w:t>
        <w:br/>
        <w:t xml:space="preserve"> Minimum: The minimum value of</w:t>
        <w:br/>
        <w:t>BG, CGM, and CHO is 39, 6.6, and 0.000001, respectively.</w:t>
        <w:br/>
        <w:t xml:space="preserve"> 25th Percentile: The 25th percentile of</w:t>
        <w:br/>
        <w:t>BG, CGM, and CHO is 77.5, 79.4, and 0.000000, respectively.</w:t>
        <w:br/>
        <w:t xml:space="preserve"> 50th Percentile: The 50th percentile of</w:t>
        <w:br/>
        <w:t>BG, CGM, and CHO is 104.5, 107.0, and 0.000000, respectively.</w:t>
        <w:br/>
        <w:t xml:space="preserve"> 75th Percentile: The 75th percentile</w:t>
        <w:br/>
        <w:t>of BG, CGM, and CHO is 137.7, 143.4, and 0.000000, respectively.</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insulin.png"/>
                    <pic:cNvPicPr/>
                  </pic:nvPicPr>
                  <pic:blipFill>
                    <a:blip r:embed="rId9"/>
                    <a:stretch>
                      <a:fillRect/>
                    </a:stretch>
                  </pic:blipFill>
                  <pic:spPr>
                    <a:xfrm>
                      <a:off x="0" y="0"/>
                      <a:ext cx="4572000" cy="4572000"/>
                    </a:xfrm>
                    <a:prstGeom prst="rect"/>
                  </pic:spPr>
                </pic:pic>
              </a:graphicData>
            </a:graphic>
          </wp:inline>
        </w:drawing>
      </w:r>
    </w:p>
    <w:p>
      <w:r>
        <w:t>The image displays a blue line that represents the top most correlated features from a correlation matrix. The line is long and extends from the left to the right side of the image. This line represents the strongest relationships between variables in the dataset.</w:t>
        <w:br/>
        <w:br/>
        <w:t>The presence of such strong correlations suggests that there are certain features in the dataset that are highly interconnected. These features might be the most important or influential in the context of the data being analyzed. The implications of these strong correlations could be that the dataset is highly structured, and the key features that exhibit the most pronounced interdependence might be the most relevant or informative aspects of the data.</w:t>
        <w:br/>
        <w:br/>
        <w:t>It is important to note that the presence of strong correlations does not necessarily mean that the features are causally related, but rather that they share a common pattern or trend. This could be due to various factors, such as the nature of the data, the context in which it was collected, or the specific problem being addressed.</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