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including their HBGI (Hemoglobin A1C) levels, risk category, and patient information. The HBGI levels range from 0.4466 to 3.6085, indicating a wide range of blood sugar levels. The risk category is categorized into five levels: low risk (0-5.9%), moderate risk (6-6.9%), high risk (7-8.9%), very high risk (9-10%), and extreme risk (11%).</w:t>
        <w:br/>
        <w:br/>
        <w:t>The patient information includes age, gender, and BMI (Body Mass Index) for each patient. The ages range from 10 to 15 years old, with the majority of patients falling within the 11-13 age range. The gender distribution is evenly split between males and females. The BMI ranges from 15.5 to 31.5, indicating a diverse range of body weights.</w:t>
        <w:br/>
        <w:br/>
        <w:t>Overall, the dataset provides valuable information on the blood sugar levels and risk categories of a group of adolescents. It highlights the importance of monitoring and managing blood sugar levels, particularly in the adolescent population, where blood sugar levels can fluctuate rapidly.</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 and 0.0065, respectively.</w:t>
        <w:br/>
        <w:t>5.</w:t>
        <w:br/>
        <w:t>25th Percentile: The 25th percentile of BG,</w:t>
        <w:br/>
        <w:t>CGM, CHO, and insulin is 77.5, 79.4, 0, and 0.0101, respectively.</w:t>
        <w:br/>
        <w:t>6.</w:t>
        <w:br/>
        <w:t>50th Percentile: The 50th</w:t>
        <w:br/>
        <w:t>percentile of BG, CGM, CHO, and insulin is 104.5, 107.0, 0, and 0.01</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