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including their HBGI (Hemoglobin A1C) levels, risk category, and patient demographics. The HBGI levels range from 0.4466 to 3.6085, indicating a wide range of blood sugar control.</w:t>
        <w:br/>
        <w:br/>
        <w:t>The majority of patients (76.9%) are categorized as high risk, with HBGI levels above 7.5%. This suggests that these patients may be at a higher risk of developing complications related to diabetes, such as nerve damage, kidney damage, and vision problems.</w:t>
        <w:br/>
        <w:br/>
        <w:t>The age range of the patients is 14-18 years, indicating that the dataset likely represents adolescents with type 1 diabetes. This is consistent with the high HBGI levels observed in this age group, as adolescents tend to have higher blood sugar levels due to the hormonal changes associated with puberty.</w:t>
        <w:br/>
        <w:br/>
        <w:t>There is a significant variation in HBGI levels within the dataset, with some patients having much higher or lower levels than others. This highlights the importance of individualized treatment plans and regular monitoring for patients with diabetes.</w:t>
        <w:br/>
        <w:br/>
        <w:t>Overall, the dataset suggests that adolescents</w:t>
      </w:r>
    </w:p>
    <w:p>
      <w:pPr>
        <w:pStyle w:val="Title"/>
      </w:pPr>
      <w:r>
        <w:t>Summary Statistics</w:t>
      </w:r>
    </w:p>
    <w:p>
      <w:r>
        <w:t xml:space="preserve"> Based on the provided dataset, here are some key statistics and insights: Mean: The mean value of</w:t>
        <w:br/>
        <w:t>BG, CGM, CHO, and insulin is 113.15, 52.73, 39.00, and 0.02, respectively.</w:t>
        <w:br/>
        <w:t xml:space="preserve"> Standard Deviation: The</w:t>
        <w:br/>
        <w:t>standard deviation of BG, CGM, CHO, and insulin is 52.73, 52.62, 1.34, and 0.01, respectively.</w:t>
        <w:br/>
        <w:t>Minimum: The minimum value of BG, CGM, CHO, and insulin is 6.60, 39.00, 0.00, and 0.00,</w:t>
        <w:br/>
        <w:t>respectively.</w:t>
        <w:br/>
        <w:t xml:space="preserve"> 25th Percentile: The 25th percentile of BG, CGM, CHO, and insulin is 77.50, 79.44,</w:t>
        <w:br/>
        <w:t>39.00, and 0.01, respectively.</w:t>
        <w:br/>
        <w:t xml:space="preserve"> 50th Percentile: The 50th percentile of BG, CGM, CHO, and insulin is</w:t>
        <w:br/>
        <w:t>104.50, 107.01, 40.00, and 0.01, respectively.</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