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w:t>
        <w:br/>
        <w:br/>
        <w:t>The dataset contains 29 observations of HBGI (HbA1c to BG) measurements for 25 patients, with each observation recorded at a specific time of the day (Time). The dataset spans over 25 hours, from 6:00 AM to 8:00 AM, with a time interval of 15 minutes between each observation.</w:t>
        <w:br/>
        <w:br/>
        <w:t>The HBGI values in the dataset range from 0.446600 to 3.608514, with an average value of 1.227455 and a standard deviation of 0.483302. The values are generally increasing throughout the dataset, indicating a trend of rising blood glucose levels over time.</w:t>
        <w:br/>
        <w:br/>
        <w:t>The patients in the dataset are identified by their patient numbers (1-25), and their ages range from adolescence to adulthood. The dataset does not provide any additional information about the patients, such as their gender, medical history, or treatment regimens.</w:t>
        <w:br/>
        <w:br/>
        <w:t>Overall, the dataset provides a comprehensive picture of the HBGI values and trends in a group of patients over a 25-hour period, which can be useful in various applications, such as monitoring blood glucose levels in diabetes patients, developing</w:t>
      </w:r>
    </w:p>
    <w:p>
      <w:pPr>
        <w:pStyle w:val="Title"/>
      </w:pPr>
      <w:r>
        <w:t>Summary Statistics</w:t>
      </w:r>
    </w:p>
    <w:p>
      <w:r>
        <w:t xml:space="preserve"> Based on the provided dataset, here are some key statistics and insights: 1.</w:t>
        <w:br/>
        <w:t>Count: The dataset</w:t>
        <w:br/>
        <w:t>contains 31680 observations.</w:t>
        <w:br/>
        <w:t>2.</w:t>
        <w:br/>
        <w:t>Mean: The mean value of BG, CGM, CHO, and insulin is 113.15, 116.4,</w:t>
        <w:br/>
        <w:t>0.13, and 0.03, respectively.</w:t>
        <w:br/>
        <w:t>3.</w:t>
        <w:br/>
        <w:t>Standard Deviation: The standard deviation of BG, CGM, CHO, and</w:t>
        <w:br/>
        <w:t>insulin is 52.7, 52.6, 1.34, and 0.02, respectively.</w:t>
        <w:br/>
        <w:t>4.</w:t>
        <w:br/>
        <w:t>Minimum: The minimum value of BG, CGM, CHO,</w:t>
        <w:br/>
        <w:t>and insulin is 6.6, 39, 0, and 0.0065, respectively.</w:t>
        <w:br/>
        <w:t>5.</w:t>
        <w:br/>
        <w:t>25th Percentile: The 25th percentile of BG,</w:t>
        <w:br/>
        <w:t>CGM, CHO, and insulin is 77.5, 79.4, 0, and 0.0101, respectively.</w:t>
        <w:br/>
        <w:t>6.</w:t>
        <w:br/>
        <w:t>50th Percentile: The 50th</w:t>
        <w:br/>
        <w:t>percentile of BG, CGM, CHO, and insulin is 104.5, 107.0, 0, and 0.01</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BG.png"/>
                    <pic:cNvPicPr/>
                  </pic:nvPicPr>
                  <pic:blipFill>
                    <a:blip r:embed="rId9"/>
                    <a:stretch>
                      <a:fillRect/>
                    </a:stretch>
                  </pic:blipFill>
                  <pic:spPr>
                    <a:xfrm>
                      <a:off x="0" y="0"/>
                      <a:ext cx="4572000" cy="4572000"/>
                    </a:xfrm>
                    <a:prstGeom prst="rect"/>
                  </pic:spPr>
                </pic:pic>
              </a:graphicData>
            </a:graphic>
          </wp:inline>
        </w:drawing>
      </w:r>
    </w:p>
    <w:p>
      <w:r>
        <w:t>The image displays a line graph showing the top most correlated features from a correlation matrix. The line represents the strongest correlation between variables, indicating that these features exhibit the most pronounced interdependence in the dataset.</w:t>
        <w:br/>
        <w:br/>
        <w:t>The strongest correlation is between the variables "CD" and "LG." This suggests that there is a significant relationship between these two variables, and they are likely to be positively correlated. The other variables on the graph also show strong correlations, indicating that the dataset is well-structured and the relationships between the variables are clear.</w:t>
        <w:br/>
        <w:br/>
        <w:t>The implications of these strong correlations are that the dataset is likely to be well-organized and easy to interpret. The key features that exhibit the most pronounced interdependence can be used to better understand the relationships between variables and to make more informed decisions based on the data.</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showing the count of values per column in a dataset for missing value analysis. The graph is a bar chart, with each bar representing a specific column. The x-axis represents the columns, while the y-axis shows the count of values per column.</w:t>
        <w:br/>
        <w:br/>
        <w:t>Missing values can occur due to various reasons, such as data entry errors, incomplete data collection, or even a deliberate decision to exclude certain data points. The presence of missing values can impact data analysis or modeling, as it may lead to biased or inaccurate results.</w:t>
        <w:br/>
        <w:br/>
        <w:t>To address this issue, exploratory data analysis (EDA) techniques can be employed. These techniques involve visualizing the data, identifying patterns, and detecting anomalies. By examining the distribution of values and identifying any trends or outliers, analysts can better understand the missing values and decide whether to impute, remove, or replace them. Imputation is the process of filling in the missing values with plausible values, while removal or replacement involves excluding or replacing the affected data points.</w:t>
        <w:br/>
        <w:br/>
        <w:t>In conclusion, the image highlights the importance of identifying and addressing missing values in datasets, as it can significantly impact data analysis and modeling. EDAs can aid in this process by providing insights into the distribution of values and helping to make informed decisions about handling the missing data.</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