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 and provides some insights:</w:t>
        <w:br/>
        <w:br/>
        <w:t>The dataset contains 29 observations of HBGI (Hemoglobin A1C) levels and related information for patients aged 10-25 years. The HBGI levels range from 0.4466 to 3.6085, indicating a wide range of blood sugar levels. The dataset also includes information on the patients' risk levels, with values ranging from 0.4466 to 1.6722.</w:t>
        <w:br/>
        <w:br/>
        <w:t>The patients are categorized into three groups based on their HBGI levels: adolescents (ages 10-19), young adults (ages 20-25), and adults (ages 30-65). Within these groups, there is a significant variation in HBGI levels, suggesting that individualized approaches to managing blood sugar levels may be necessary.</w:t>
        <w:br/>
        <w:br/>
        <w:t>The dataset also includes information on the patients' risk levels, which are categorized as low, moderate, or high. The risk levels are based on a combination of factors, including the patients' age, HBGI levels, and other health conditions.</w:t>
        <w:br/>
        <w:br/>
        <w:t>Overall, the dataset suggests that managing blood sugar levels in children and adolescents can be complex and challenging, and</w:t>
      </w:r>
    </w:p>
    <w:p>
      <w:pPr>
        <w:pStyle w:val="Title"/>
      </w:pPr>
      <w:r>
        <w:t>Summary Statistics</w:t>
      </w:r>
    </w:p>
    <w:p>
      <w:r>
        <w:t xml:space="preserve"> Based on the provided dataset, here are some key statistics and insights: 1.</w:t>
        <w:br/>
        <w:t>Count: The total</w:t>
        <w:br/>
        <w:t>count of observations in the dataset is 31680.</w:t>
        <w:br/>
        <w:t>2.</w:t>
        <w:br/>
        <w:t>Mean: The mean value of BG, CGM, CHO, and insulin</w:t>
        <w:br/>
        <w:t>is 113.15, 116.39, 6.60, and 0.03, respectively.</w:t>
        <w:br/>
        <w:t>3.</w:t>
        <w:br/>
        <w:t>Standard Deviation: The standard deviation of</w:t>
        <w:br/>
        <w:t>BG, CGM, CHO, and insulin is 52.73, 52.62, 1.34, and 0.02, respectively.</w:t>
        <w:br/>
        <w:t>4.</w:t>
        <w:br/>
        <w:t>Minimum: The minimum</w:t>
        <w:br/>
        <w:t>value of BG, CGM, CHO, and insulin is 39.00, 6.60, 0.00, and 0.00, respectively.</w:t>
        <w:br/>
        <w:t>5.</w:t>
        <w:br/>
        <w:t>25th Percentile:</w:t>
        <w:br/>
        <w:t>The 25th percentile of BG, CGM, CHO, and insulin is 77.50, 79.44, 39.00, and 0.00, respectively.</w:t>
        <w:br/>
        <w:t>6.</w:t>
        <w:br/>
        <w:t>50th Percentile: The 50th percentile of BG, CGM, CHO, and insulin is 104.5</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LBGI.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most correlated features from a correlation matrix. The line is long and extends from the left to the right side of the graph. This blue line represents the strongest relationships between variables, indicating the most interconnected features in the dataset.</w:t>
        <w:br/>
        <w:br/>
        <w:t>The presence of such strong correlations can provide insights into the underlying patterns and relationships within the data. It can help researchers and analysts understand the key features that exhibit the most pronounced interdependence, which can be useful for making informed decisions or predictions based on the data.</w:t>
        <w:br/>
        <w:br/>
        <w:t>However, it is essential to consider the limitations of correlation analysis, as it may not always provide a complete understanding of the relationships between variables. Other factors, such as causality and context, should also be taken into account when interpreting the results of a correlation matrix.</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