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№5. Изоморфизм графов.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Критерии изоморфизма графов: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Число вершин |X| = m.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2. Число ребер |U| = k.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Число компонент связности р(G).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Последовательность степеней вершин, т.е. список степеней всех вершин в не возрастающем порядке значений ρxi.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5. Плотность f(G) – число вершин клики графа 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6. Число внутренней устойчивости α (G).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7. Хроматическое число χ(G).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8. Число Хадвигера η(G).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Начнем проверку на изоморфизм.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вершин: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|G1| = 12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|G2| = 12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|G1| = |G2| =&gt; количество вершин одинаковое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Первый критерий выполнен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ребер: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|G1| = 23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|G2| = 39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|G1| != |G2| =&gt; количество ребер разное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Так как количество ребер разное, </w:t>
      </w:r>
      <w:r w:rsidDel="00000000" w:rsidR="00000000" w:rsidRPr="00000000">
        <w:rPr>
          <w:b w:val="1"/>
          <w:rtl w:val="0"/>
        </w:rPr>
        <w:t xml:space="preserve">графы не изоморфны.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