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B8C4CC" w:sz="8" w:space="6"/>
        </w:pBdr>
        <w:spacing w:after="160" w:before="400"/>
      </w:pPr>
      <w:r>
        <w:rPr>
          <w:rFonts w:ascii="Aptos" w:cs="Aptos" w:eastAsia="Aptos" w:hAnsi="Aptos"/>
          <w:b/>
          <w:bCs/>
          <w:color w:val="1F4E5F"/>
          <w:sz w:val="30"/>
          <w:szCs w:val="30"/>
        </w:rPr>
        <w:t xml:space="preserve">SOMMAIRE DU PROJET</w:t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Détection de courriels malveillants — spam et hameçonnage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5040"/>
        <w:gridCol w:w="5040"/>
      </w:tblGrid>
      <w:tr>
        <w:trPr>
          <w:cantSplit/>
          <w:tblHeader w:val="false"/>
        </w:trP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Situation-problème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SP‑A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Durée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5 semaines · ≈ 23 h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Équipes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 à 3 personnes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Langage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Python (Google Colab)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En bref</w:t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Les étudiants construisent un </w:t>
      </w: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prototype de passerelle de sécurité courriel</w:t>
      </w:r>
      <w:r>
        <w:rPr>
          <w:rFonts w:ascii="Aptos" w:cs="Aptos" w:eastAsia="Aptos" w:hAnsi="Aptos"/>
          <w:color w:val="1A1A1A"/>
          <w:sz w:val="20"/>
          <w:szCs w:val="20"/>
        </w:rPr>
        <w:t xml:space="preserve"> : un programme qui lit un courriel, lui attribue un score de risque et décide s'il est légitime, indésirable ou dangereux.</w:t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Ils le font </w:t>
      </w: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deux fois</w:t>
      </w:r>
      <w:r>
        <w:rPr>
          <w:rFonts w:ascii="Aptos" w:cs="Aptos" w:eastAsia="Aptos" w:hAnsi="Aptos"/>
          <w:color w:val="1A1A1A"/>
          <w:sz w:val="20"/>
          <w:szCs w:val="20"/>
        </w:rPr>
        <w:t xml:space="preserve">. D'abord en écrivant eux-mêmes les règles de détection. Ensuite en laissant un modèle d'intelligence artificielle les apprendre à partir d'exemples. Ils comparent enfin les deux approches avec des mesures chiffrées.</w:t>
      </w:r>
    </w:p>
    <w:p>
      <w:pPr>
        <w:pBdr>
          <w:left w:val="single" w:color="D9A441" w:sz="18" w:space="10"/>
        </w:pBdr>
        <w:shd w:fill="FFF8E7" w:color="auto" w:val="clear"/>
        <w:spacing w:after="140" w:before="120" w:line="264"/>
        <w:ind w:left="180" w:right="180"/>
      </w:pPr>
      <w:r>
        <w:rPr>
          <w:rFonts w:ascii="Aptos" w:cs="Aptos" w:eastAsia="Aptos" w:hAnsi="Aptos"/>
          <w:b/>
          <w:bCs/>
          <w:color w:val="1A1A1A"/>
          <w:sz w:val="19"/>
          <w:szCs w:val="19"/>
        </w:rPr>
        <w:t xml:space="preserve">L'objectif n'est pas d'obtenir le meilleur score.</w:t>
      </w:r>
      <w:r>
        <w:rPr>
          <w:rFonts w:ascii="Aptos" w:cs="Aptos" w:eastAsia="Aptos" w:hAnsi="Aptos"/>
          <w:color w:val="1A1A1A"/>
          <w:sz w:val="19"/>
          <w:szCs w:val="19"/>
        </w:rPr>
        <w:t xml:space="preserve"> C'est de pouvoir expliquer pourquoi on choisit une approche plutôt qu'une autre, et ce que chacune coûte.</w:t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L'idée directrice</w:t>
      </w:r>
    </w:p>
    <w:p>
      <w:pPr>
        <w:pBdr>
          <w:left w:val="single" w:color="2E7D8F" w:sz="12" w:space="8"/>
        </w:pBdr>
        <w:shd w:fill="F2F4F6" w:color="auto" w:val="clear"/>
        <w:spacing w:after="140" w:before="10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ÉCRIRE SES PROPRES RÈGLES  →  MESURER  →  REFAIRE AVEC L'IA  →  COMPARER</w:t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L'étudiant qui a passé deux semaines à régler ses propres seuils comprend, en une séance, ce qu'un modèle d'apprentissage lui apporte — et ce qu'il lui fait perdre. Sans ce vécu, l'IA reste une boîte noire qu'on utilise sans jugement.</w:t>
      </w:r>
    </w:p>
    <w:p>
      <w:pPr>
        <w:spacing w:after="100" w:before="60" w:line="264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Ordre non négociable : on mesure avant d'automatiser.</w:t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Architecture du système</w:t>
      </w:r>
    </w:p>
    <w:p>
      <w:pPr>
        <w:pBdr>
          <w:left w:val="single" w:color="2E7D8F" w:sz="12" w:space="8"/>
        </w:pBdr>
        <w:shd w:fill="F2F4F6" w:color="auto" w:val="clear"/>
        <w:spacing w:after="0" w:before="10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Courriel reçu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      │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┌───────────────┴───────────────┐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▼                               ▼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MODULE 1                         MODULE 2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Hameçonnage                      Spam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« Qui écrit ? »                  « Que dit-on ? »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identité et domaine              contenu du message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│                               │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└───────────────┬───────────────┘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      ▼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MOTEUR DE SCORING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arbitrage et décision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      │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          ▼</w:t>
      </w:r>
    </w:p>
    <w:p>
      <w:pPr>
        <w:pBdr>
          <w:left w:val="single" w:color="2E7D8F" w:sz="12" w:space="8"/>
        </w:pBdr>
        <w:shd w:fill="F2F4F6" w:color="auto" w:val="clear"/>
        <w:spacing w:after="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HAM · SPAM · PHISHING · SUSPECT</w:t>
      </w:r>
    </w:p>
    <w:p>
      <w:pPr>
        <w:pBdr>
          <w:left w:val="single" w:color="2E7D8F" w:sz="12" w:space="8"/>
        </w:pBdr>
        <w:shd w:fill="F2F4F6" w:color="auto" w:val="clear"/>
        <w:spacing w:after="140" w:before="0" w:line="232"/>
        <w:ind w:left="180" w:right="18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        + niveau de risque</w:t>
      </w:r>
    </w:p>
    <w:p>
      <w:pPr>
        <w:spacing w:after="100" w:before="60" w:line="264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La distinction qui structure tout le projet :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2566"/>
        <w:gridCol w:w="4582"/>
        <w:gridCol w:w="2932"/>
      </w:tblGrid>
      <w:tr>
        <w:trPr>
          <w:cantSplit/>
          <w:tblHeader/>
        </w:trPr>
        <w:tc>
          <w:tcPr>
            <w:tcW w:type="dxa" w:w="2566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  <w:tc>
          <w:tcPr>
            <w:tcW w:type="dxa" w:w="4582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Intention de l'attaquant</w:t>
            </w:r>
          </w:p>
        </w:tc>
        <w:tc>
          <w:tcPr>
            <w:tcW w:type="dxa" w:w="2932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Ce qu'on analyse</w:t>
            </w:r>
          </w:p>
        </w:tc>
      </w:tr>
      <w:tr>
        <w:trPr>
          <w:cantSplit/>
          <w:tblHeader w:val="false"/>
        </w:trPr>
        <w:tc>
          <w:tcPr>
            <w:tcW w:type="dxa" w:w="25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Spam</w:t>
            </w:r>
          </w:p>
        </w:tc>
        <w:tc>
          <w:tcPr>
            <w:tcW w:type="dxa" w:w="458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Vous </w:t>
            </w: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vendre</w:t>
            </w: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 quelque chose</w:t>
            </w:r>
          </w:p>
        </w:tc>
        <w:tc>
          <w:tcPr>
            <w:tcW w:type="dxa" w:w="29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Le contenu</w:t>
            </w:r>
          </w:p>
        </w:tc>
      </w:tr>
      <w:tr>
        <w:trPr>
          <w:cantSplit/>
          <w:tblHeader w:val="false"/>
        </w:trPr>
        <w:tc>
          <w:tcPr>
            <w:tcW w:type="dxa" w:w="256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Hameçonnage</w:t>
            </w:r>
          </w:p>
        </w:tc>
        <w:tc>
          <w:tcPr>
            <w:tcW w:type="dxa" w:w="458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Vous </w:t>
            </w: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voler</w:t>
            </w: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 quelque chose</w:t>
            </w:r>
          </w:p>
        </w:tc>
        <w:tc>
          <w:tcPr>
            <w:tcW w:type="dxa" w:w="293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L'identité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Un hameçonnage bien rédigé ne contient aucun mot suspect. C'est le domaine qui le trahit — d'où deux modules distincts.</w:t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Méthode de travail</w:t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Chaque composante suit toujours le même cycle en quatre temps :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1163"/>
        <w:gridCol w:w="1422"/>
        <w:gridCol w:w="7495"/>
      </w:tblGrid>
      <w:tr>
        <w:trPr>
          <w:cantSplit/>
          <w:tblHeader/>
        </w:trPr>
        <w:tc>
          <w:tcPr>
            <w:tcW w:type="dxa" w:w="1163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/>
            </w:r>
          </w:p>
        </w:tc>
        <w:tc>
          <w:tcPr>
            <w:tcW w:type="dxa" w:w="1422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Étape</w:t>
            </w:r>
          </w:p>
        </w:tc>
        <w:tc>
          <w:tcPr>
            <w:tcW w:type="dxa" w:w="7495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Ce que fait l'étudiant</w:t>
            </w:r>
          </w:p>
        </w:tc>
      </w:tr>
      <w:tr>
        <w:trPr>
          <w:cantSplit/>
          <w:tblHeader w:val="false"/>
        </w:trPr>
        <w:tc>
          <w:tcPr>
            <w:tcW w:type="dxa" w:w="11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42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Observer</w:t>
            </w:r>
          </w:p>
        </w:tc>
        <w:tc>
          <w:tcPr>
            <w:tcW w:type="dxa" w:w="74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Classer à la main une liste d'exemples fournis</w:t>
            </w:r>
          </w:p>
        </w:tc>
      </w:tr>
      <w:tr>
        <w:trPr>
          <w:cantSplit/>
          <w:tblHeader w:val="false"/>
        </w:trPr>
        <w:tc>
          <w:tcPr>
            <w:tcW w:type="dxa" w:w="1163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2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Formuler</w:t>
            </w:r>
          </w:p>
        </w:tc>
        <w:tc>
          <w:tcPr>
            <w:tcW w:type="dxa" w:w="7495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Écrire en français l'indice qui a permis de trancher</w:t>
            </w:r>
          </w:p>
        </w:tc>
      </w:tr>
      <w:tr>
        <w:trPr>
          <w:cantSplit/>
          <w:tblHeader w:val="false"/>
        </w:trPr>
        <w:tc>
          <w:tcPr>
            <w:tcW w:type="dxa" w:w="116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2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Coder</w:t>
            </w:r>
          </w:p>
        </w:tc>
        <w:tc>
          <w:tcPr>
            <w:tcW w:type="dxa" w:w="749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Traduire cet indice en fonction Python</w:t>
            </w:r>
          </w:p>
        </w:tc>
      </w:tr>
      <w:tr>
        <w:trPr>
          <w:cantSplit/>
          <w:tblHeader w:val="false"/>
        </w:trPr>
        <w:tc>
          <w:tcPr>
            <w:tcW w:type="dxa" w:w="1163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42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Tester</w:t>
            </w:r>
          </w:p>
        </w:tc>
        <w:tc>
          <w:tcPr>
            <w:tcW w:type="dxa" w:w="7495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Relancer la fonction sur la liste de départ et compter les erreurs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spacing w:after="100" w:before="60" w:line="264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Règle d'or : ne jamais coder avant d'avoir classé à la main.</w:t>
      </w:r>
      <w:r>
        <w:rPr>
          <w:rFonts w:ascii="Aptos" w:cs="Aptos" w:eastAsia="Aptos" w:hAnsi="Aptos"/>
          <w:color w:val="1A1A1A"/>
          <w:sz w:val="20"/>
          <w:szCs w:val="20"/>
        </w:rPr>
        <w:t xml:space="preserve"> Le tableau d'observation est à la fois la matière première et le jeu de test.</w:t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Les étapes du projet</w:t>
      </w:r>
    </w:p>
    <w:p>
      <w:pPr>
        <w:pStyle w:val="Heading3"/>
        <w:keepNext/>
        <w:spacing w:after="110" w:before="260"/>
      </w:pPr>
      <w:r>
        <w:rPr>
          <w:rFonts w:ascii="Aptos" w:cs="Aptos" w:eastAsia="Aptos" w:hAnsi="Aptos"/>
          <w:b/>
          <w:bCs/>
          <w:color w:val="2E7D8F"/>
          <w:sz w:val="22"/>
          <w:szCs w:val="22"/>
        </w:rPr>
        <w:t xml:space="preserve">Module 1 — Détection d'hameçonnage</w:t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Question centrale : </w:t>
      </w:r>
      <w:r>
        <w:rPr>
          <w:rFonts w:ascii="Aptos" w:cs="Aptos" w:eastAsia="Aptos" w:hAnsi="Aptos"/>
          <w:i/>
          <w:iCs/>
          <w:color w:val="1A1A1A"/>
          <w:sz w:val="20"/>
          <w:szCs w:val="20"/>
        </w:rPr>
        <w:t xml:space="preserve">l'identité affichée correspond-elle à l'expéditeur réel ?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935"/>
        <w:gridCol w:w="3118"/>
        <w:gridCol w:w="6027"/>
      </w:tblGrid>
      <w:tr>
        <w:trPr>
          <w:cantSplit/>
          <w:tblHeader/>
        </w:trPr>
        <w:tc>
          <w:tcPr>
            <w:tcW w:type="dxa" w:w="935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Étape</w:t>
            </w:r>
          </w:p>
        </w:tc>
        <w:tc>
          <w:tcPr>
            <w:tcW w:type="dxa" w:w="3118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Composante</w:t>
            </w:r>
          </w:p>
        </w:tc>
        <w:tc>
          <w:tcPr>
            <w:tcW w:type="dxa" w:w="6027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Ce qui est détecté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Classification des domaines</w:t>
            </w:r>
          </w:p>
        </w:tc>
        <w:tc>
          <w:tcPr>
            <w:tcW w:type="dxa" w:w="60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Faux domaines, substitutions de caractères, mots d'appât, extensions à risque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3118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Analyse des liens</w:t>
            </w:r>
          </w:p>
        </w:tc>
        <w:tc>
          <w:tcPr>
            <w:tcW w:type="dxa" w:w="6027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Domaine réel du lien, adresses IP, raccourcisseurs, absence de HTTPS</w:t>
            </w:r>
          </w:p>
        </w:tc>
      </w:tr>
      <w:tr>
        <w:trPr>
          <w:cantSplit/>
          <w:tblHeader w:val="false"/>
        </w:trPr>
        <w:tc>
          <w:tcPr>
            <w:tcW w:type="dxa" w:w="93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1.3</w:t>
            </w:r>
          </w:p>
        </w:tc>
        <w:tc>
          <w:tcPr>
            <w:tcW w:type="dxa" w:w="31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Nom affiché vs adresse d'envoi</w:t>
            </w:r>
          </w:p>
        </w:tc>
        <w:tc>
          <w:tcPr>
            <w:tcW w:type="dxa" w:w="602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Usurpation de marque connue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dxa" w:w="3118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En-têtes techniques</w:t>
            </w:r>
          </w:p>
        </w:tc>
        <w:tc>
          <w:tcPr>
            <w:tcW w:type="dxa" w:w="6027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A63A2E"/>
                <w:sz w:val="18"/>
                <w:szCs w:val="18"/>
              </w:rPr>
              <w:t xml:space="preserve">Return-Path</w:t>
            </w: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3A2E"/>
                <w:sz w:val="18"/>
                <w:szCs w:val="18"/>
              </w:rPr>
              <w:t xml:space="preserve">Reply-To</w:t>
            </w: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 incohérents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63A2E"/>
                <w:sz w:val="18"/>
                <w:szCs w:val="18"/>
              </w:rPr>
              <w:t xml:space="preserve">From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spacing w:after="100" w:before="60" w:line="264"/>
      </w:pPr>
      <w:r>
        <w:rPr>
          <w:rFonts w:ascii="Aptos" w:cs="Aptos" w:eastAsia="Aptos" w:hAnsi="Aptos"/>
          <w:i/>
          <w:iCs/>
          <w:color w:val="1A1A1A"/>
          <w:sz w:val="20"/>
          <w:szCs w:val="20"/>
        </w:rPr>
        <w:t xml:space="preserve">Ressource à construire : un fichier associant chaque marque connue à ses domaines officiels.</w:t>
      </w:r>
    </w:p>
    <w:p>
      <w:pPr>
        <w:pStyle w:val="Heading3"/>
        <w:keepNext/>
        <w:spacing w:after="110" w:before="260"/>
      </w:pPr>
      <w:r>
        <w:rPr>
          <w:rFonts w:ascii="Aptos" w:cs="Aptos" w:eastAsia="Aptos" w:hAnsi="Aptos"/>
          <w:b/>
          <w:bCs/>
          <w:color w:val="2E7D8F"/>
          <w:sz w:val="22"/>
          <w:szCs w:val="22"/>
        </w:rPr>
        <w:t xml:space="preserve">Module 2 — Détection de spam</w:t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Question centrale : </w:t>
      </w:r>
      <w:r>
        <w:rPr>
          <w:rFonts w:ascii="Aptos" w:cs="Aptos" w:eastAsia="Aptos" w:hAnsi="Aptos"/>
          <w:i/>
          <w:iCs/>
          <w:color w:val="1A1A1A"/>
          <w:sz w:val="20"/>
          <w:szCs w:val="20"/>
        </w:rPr>
        <w:t xml:space="preserve">le message cherche-t-il à vendre ?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975"/>
        <w:gridCol w:w="2818"/>
        <w:gridCol w:w="6287"/>
      </w:tblGrid>
      <w:tr>
        <w:trPr>
          <w:cantSplit/>
          <w:tblHeader/>
        </w:trPr>
        <w:tc>
          <w:tcPr>
            <w:tcW w:type="dxa" w:w="975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Étape</w:t>
            </w:r>
          </w:p>
        </w:tc>
        <w:tc>
          <w:tcPr>
            <w:tcW w:type="dxa" w:w="2818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Composante</w:t>
            </w:r>
          </w:p>
        </w:tc>
        <w:tc>
          <w:tcPr>
            <w:tcW w:type="dxa" w:w="6287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Ce qui est détecté</w:t>
            </w:r>
          </w:p>
        </w:tc>
      </w:tr>
      <w:tr>
        <w:trPr>
          <w:cantSplit/>
          <w:tblHeader w:val="false"/>
        </w:trPr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2.1</w:t>
            </w:r>
          </w:p>
        </w:tc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Mots-clés commerciaux</w:t>
            </w:r>
          </w:p>
        </w:tc>
        <w:tc>
          <w:tcPr>
            <w:tcW w:type="dxa" w:w="628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Vocabulaire de vente, en français et en anglais</w:t>
            </w:r>
          </w:p>
        </w:tc>
      </w:tr>
      <w:tr>
        <w:trPr>
          <w:cantSplit/>
          <w:tblHeader w:val="false"/>
        </w:trPr>
        <w:tc>
          <w:tcPr>
            <w:tcW w:type="dxa" w:w="975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2.2</w:t>
            </w:r>
          </w:p>
        </w:tc>
        <w:tc>
          <w:tcPr>
            <w:tcW w:type="dxa" w:w="2818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Excès de majuscules</w:t>
            </w:r>
          </w:p>
        </w:tc>
        <w:tc>
          <w:tcPr>
            <w:tcW w:type="dxa" w:w="6287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Ton criard, avec condition de longueur minimale</w:t>
            </w:r>
          </w:p>
        </w:tc>
      </w:tr>
      <w:tr>
        <w:trPr>
          <w:cantSplit/>
          <w:tblHeader w:val="false"/>
        </w:trPr>
        <w:tc>
          <w:tcPr>
            <w:tcW w:type="dxa" w:w="97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2.3</w:t>
            </w:r>
          </w:p>
        </w:tc>
        <w:tc>
          <w:tcPr>
            <w:tcW w:type="dxa" w:w="281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Formulation promotionnelle</w:t>
            </w:r>
          </w:p>
        </w:tc>
        <w:tc>
          <w:tcPr>
            <w:tcW w:type="dxa" w:w="628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Tournures complètes (« ‑50 % de rabais », « achetez maintenant »)</w:t>
            </w:r>
          </w:p>
        </w:tc>
      </w:tr>
      <w:tr>
        <w:trPr>
          <w:cantSplit/>
          <w:tblHeader w:val="false"/>
        </w:trPr>
        <w:tc>
          <w:tcPr>
            <w:tcW w:type="dxa" w:w="975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2.4</w:t>
            </w:r>
          </w:p>
        </w:tc>
        <w:tc>
          <w:tcPr>
            <w:tcW w:type="dxa" w:w="2818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Signaux complémentaires</w:t>
            </w:r>
          </w:p>
        </w:tc>
        <w:tc>
          <w:tcPr>
            <w:tcW w:type="dxa" w:w="6287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Ponctuation excessive, nombre de liens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pStyle w:val="Heading3"/>
        <w:keepNext/>
        <w:spacing w:after="110" w:before="260"/>
      </w:pPr>
      <w:r>
        <w:rPr>
          <w:rFonts w:ascii="Aptos" w:cs="Aptos" w:eastAsia="Aptos" w:hAnsi="Aptos"/>
          <w:b/>
          <w:bCs/>
          <w:color w:val="2E7D8F"/>
          <w:sz w:val="22"/>
          <w:szCs w:val="22"/>
        </w:rPr>
        <w:t xml:space="preserve">Moteur de scoring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1354"/>
        <w:gridCol w:w="8726"/>
      </w:tblGrid>
      <w:tr>
        <w:trPr>
          <w:cantSplit/>
          <w:tblHeader/>
        </w:trPr>
        <w:tc>
          <w:tcPr>
            <w:tcW w:type="dxa" w:w="1354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Étape</w:t>
            </w:r>
          </w:p>
        </w:tc>
        <w:tc>
          <w:tcPr>
            <w:tcW w:type="dxa" w:w="8726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Ce qui est décidé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3.1</w:t>
            </w:r>
          </w:p>
        </w:tc>
        <w:tc>
          <w:tcPr>
            <w:tcW w:type="dxa" w:w="8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Ramener les deux scores sur une échelle de 0 à 100</w:t>
            </w:r>
          </w:p>
        </w:tc>
      </w:tr>
      <w:tr>
        <w:trPr>
          <w:cantSplit/>
          <w:tblHeader w:val="false"/>
        </w:trPr>
        <w:tc>
          <w:tcPr>
            <w:tcW w:type="dxa" w:w="1354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3.2</w:t>
            </w:r>
          </w:p>
        </w:tc>
        <w:tc>
          <w:tcPr>
            <w:tcW w:type="dxa" w:w="872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Fixer les seuils de verdict : HAM, SPAM, SUSPECT, PHISHING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3.3</w:t>
            </w:r>
          </w:p>
        </w:tc>
        <w:tc>
          <w:tcPr>
            <w:tcW w:type="dxa" w:w="8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Arbitrer quand les deux scores sont élevés — </w:t>
            </w: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l'hameçonnage l'emporte</w:t>
            </w:r>
          </w:p>
        </w:tc>
      </w:tr>
      <w:tr>
        <w:trPr>
          <w:cantSplit/>
          <w:tblHeader w:val="false"/>
        </w:trPr>
        <w:tc>
          <w:tcPr>
            <w:tcW w:type="dxa" w:w="1354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3.4</w:t>
            </w:r>
          </w:p>
        </w:tc>
        <w:tc>
          <w:tcPr>
            <w:tcW w:type="dxa" w:w="872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Attribuer un niveau de risque pour prioriser la file de l'analyste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spacing w:after="100" w:before="60" w:line="264"/>
      </w:pPr>
      <w:r>
        <w:rPr>
          <w:rFonts w:ascii="Aptos" w:cs="Aptos" w:eastAsia="Aptos" w:hAnsi="Aptos"/>
          <w:i/>
          <w:iCs/>
          <w:color w:val="1A1A1A"/>
          <w:sz w:val="20"/>
          <w:szCs w:val="20"/>
        </w:rPr>
        <w:t xml:space="preserve">Les seuils de départ sont provisoires : ils doivent être réajustés après mesure.</w:t>
      </w:r>
    </w:p>
    <w:p>
      <w:pPr>
        <w:pStyle w:val="Heading3"/>
        <w:keepNext/>
        <w:spacing w:after="110" w:before="260"/>
      </w:pPr>
      <w:r>
        <w:rPr>
          <w:rFonts w:ascii="Aptos" w:cs="Aptos" w:eastAsia="Aptos" w:hAnsi="Aptos"/>
          <w:b/>
          <w:bCs/>
          <w:color w:val="2E7D8F"/>
          <w:sz w:val="22"/>
          <w:szCs w:val="22"/>
        </w:rPr>
        <w:t xml:space="preserve">Phase IA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1354"/>
        <w:gridCol w:w="8726"/>
      </w:tblGrid>
      <w:tr>
        <w:trPr>
          <w:cantSplit/>
          <w:tblHeader/>
        </w:trPr>
        <w:tc>
          <w:tcPr>
            <w:tcW w:type="dxa" w:w="1354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Étape</w:t>
            </w:r>
          </w:p>
        </w:tc>
        <w:tc>
          <w:tcPr>
            <w:tcW w:type="dxa" w:w="8726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Ce qui est fait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4.1</w:t>
            </w:r>
          </w:p>
        </w:tc>
        <w:tc>
          <w:tcPr>
            <w:tcW w:type="dxa" w:w="8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Séparer les données en entraînement et test, avant tout entraînement</w:t>
            </w:r>
          </w:p>
        </w:tc>
      </w:tr>
      <w:tr>
        <w:trPr>
          <w:cantSplit/>
          <w:tblHeader w:val="false"/>
        </w:trPr>
        <w:tc>
          <w:tcPr>
            <w:tcW w:type="dxa" w:w="1354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4.2</w:t>
            </w:r>
          </w:p>
        </w:tc>
        <w:tc>
          <w:tcPr>
            <w:tcW w:type="dxa" w:w="872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Entraîner un modèle sur le </w:t>
            </w: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texte brut</w:t>
            </w: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 des messages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4.3</w:t>
            </w:r>
          </w:p>
        </w:tc>
        <w:tc>
          <w:tcPr>
            <w:tcW w:type="dxa" w:w="8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Entraîner un modèle sur </w:t>
            </w: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les indicateurs produits par les règles de l'étudiant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spacing w:after="100" w:before="60" w:line="264"/>
      </w:pPr>
      <w:r>
        <w:rPr>
          <w:rFonts w:ascii="Aptos" w:cs="Aptos" w:eastAsia="Aptos" w:hAnsi="Aptos"/>
          <w:i/>
          <w:iCs/>
          <w:color w:val="1A1A1A"/>
          <w:sz w:val="20"/>
          <w:szCs w:val="20"/>
        </w:rPr>
        <w:t xml:space="preserve">Le second modèle voit exactement les mêmes informations que les règles manuelles. Seule la façon de les combiner change — ce qui rend la comparaison honnête.</w:t>
      </w:r>
    </w:p>
    <w:p>
      <w:pPr>
        <w:pStyle w:val="Heading3"/>
        <w:keepNext/>
        <w:spacing w:after="110" w:before="260"/>
      </w:pPr>
      <w:r>
        <w:rPr>
          <w:rFonts w:ascii="Aptos" w:cs="Aptos" w:eastAsia="Aptos" w:hAnsi="Aptos"/>
          <w:b/>
          <w:bCs/>
          <w:color w:val="2E7D8F"/>
          <w:sz w:val="22"/>
          <w:szCs w:val="22"/>
        </w:rPr>
        <w:t xml:space="preserve">Mesure et comparaison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1354"/>
        <w:gridCol w:w="8726"/>
      </w:tblGrid>
      <w:tr>
        <w:trPr>
          <w:cantSplit/>
          <w:tblHeader/>
        </w:trPr>
        <w:tc>
          <w:tcPr>
            <w:tcW w:type="dxa" w:w="1354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Étape</w:t>
            </w:r>
          </w:p>
        </w:tc>
        <w:tc>
          <w:tcPr>
            <w:tcW w:type="dxa" w:w="8726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Ce qui est produit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5.1</w:t>
            </w:r>
          </w:p>
        </w:tc>
        <w:tc>
          <w:tcPr>
            <w:tcW w:type="dxa" w:w="8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Matrice de confusion et mesures par classe : précision, rappel, F1</w:t>
            </w:r>
          </w:p>
        </w:tc>
      </w:tr>
      <w:tr>
        <w:trPr>
          <w:cantSplit/>
          <w:tblHeader w:val="false"/>
        </w:trPr>
        <w:tc>
          <w:tcPr>
            <w:tcW w:type="dxa" w:w="1354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5.2</w:t>
            </w:r>
          </w:p>
        </w:tc>
        <w:tc>
          <w:tcPr>
            <w:tcW w:type="dxa" w:w="872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Tableau comparatif des trois approches</w:t>
            </w:r>
          </w:p>
        </w:tc>
      </w:tr>
      <w:tr>
        <w:trPr>
          <w:cantSplit/>
          <w:tblHeader w:val="false"/>
        </w:trPr>
        <w:tc>
          <w:tcPr>
            <w:tcW w:type="dxa" w:w="13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5.3</w:t>
            </w:r>
          </w:p>
        </w:tc>
        <w:tc>
          <w:tcPr>
            <w:tcW w:type="dxa" w:w="87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Analyse des erreurs : pourquoi le système s'est-il trompé ?</w:t>
            </w:r>
          </w:p>
        </w:tc>
      </w:tr>
      <w:tr>
        <w:trPr>
          <w:cantSplit/>
          <w:tblHeader w:val="false"/>
        </w:trPr>
        <w:tc>
          <w:tcPr>
            <w:tcW w:type="dxa" w:w="1354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5.4</w:t>
            </w:r>
          </w:p>
        </w:tc>
        <w:tc>
          <w:tcPr>
            <w:tcW w:type="dxa" w:w="872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Réajustement des seuils, avec preuve du avant/après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Deux règles non négociables</w:t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*</w:t>
      </w:r>
      <w:r>
        <w:rPr>
          <w:rFonts w:ascii="Aptos" w:cs="Aptos" w:eastAsia="Aptos" w:hAnsi="Aptos"/>
          <w:i/>
          <w:iCs/>
          <w:color w:val="1A1A1A"/>
          <w:sz w:val="20"/>
          <w:szCs w:val="20"/>
        </w:rPr>
        <w:t xml:space="preserve">1. L'exactitude (</w:t>
      </w:r>
      <w:r>
        <w:rPr>
          <w:rFonts w:ascii="Aptos" w:cs="Aptos" w:eastAsia="Aptos" w:hAnsi="Aptos"/>
          <w:color w:val="1A1A1A"/>
          <w:sz w:val="20"/>
          <w:szCs w:val="20"/>
        </w:rPr>
        <w:t xml:space="preserve">accuracy</w:t>
      </w:r>
      <w:r>
        <w:rPr>
          <w:rFonts w:ascii="Aptos" w:cs="Aptos" w:eastAsia="Aptos" w:hAnsi="Aptos"/>
          <w:i/>
          <w:iCs/>
          <w:color w:val="1A1A1A"/>
          <w:sz w:val="20"/>
          <w:szCs w:val="20"/>
        </w:rPr>
        <w:t xml:space="preserve">) est interdite comme mesure principale.</w:t>
      </w:r>
      <w:r>
        <w:rPr>
          <w:rFonts w:ascii="Aptos" w:cs="Aptos" w:eastAsia="Aptos" w:hAnsi="Aptos"/>
          <w:color w:val="1A1A1A"/>
          <w:sz w:val="20"/>
          <w:szCs w:val="20"/>
        </w:rPr>
        <w:t xml:space="preserve">* Si 80 % des courriels sont légitimes, un système qui répond toujours « HAM » affiche 80 % d'exactitude et ne détecte aucune attaque.</w:t>
      </w:r>
    </w:p>
    <w:p>
      <w:pPr>
        <w:spacing w:after="100" w:before="60" w:line="264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 Toutes les erreurs ne se valent pas.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4757"/>
        <w:gridCol w:w="3851"/>
        <w:gridCol w:w="1472"/>
      </w:tblGrid>
      <w:tr>
        <w:trPr>
          <w:cantSplit/>
          <w:tblHeader/>
        </w:trPr>
        <w:tc>
          <w:tcPr>
            <w:tcW w:type="dxa" w:w="4757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Erreur</w:t>
            </w:r>
          </w:p>
        </w:tc>
        <w:tc>
          <w:tcPr>
            <w:tcW w:type="dxa" w:w="3851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Conséquence</w:t>
            </w:r>
          </w:p>
        </w:tc>
        <w:tc>
          <w:tcPr>
            <w:tcW w:type="dxa" w:w="1472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Gravité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Courriel légitime bloqué comme hameçonnage</w:t>
            </w:r>
          </w:p>
        </w:tc>
        <w:tc>
          <w:tcPr>
            <w:tcW w:type="dxa" w:w="3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Facture perdue, client injoignable</w:t>
            </w:r>
          </w:p>
        </w:tc>
        <w:tc>
          <w:tcPr>
            <w:tcW w:type="dxa" w:w="14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La plus grave</w:t>
            </w:r>
          </w:p>
        </w:tc>
      </w:tr>
      <w:tr>
        <w:trPr>
          <w:cantSplit/>
          <w:tblHeader w:val="false"/>
        </w:trPr>
        <w:tc>
          <w:tcPr>
            <w:tcW w:type="dxa" w:w="4757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Hameçonnage livré comme légitime</w:t>
            </w:r>
          </w:p>
        </w:tc>
        <w:tc>
          <w:tcPr>
            <w:tcW w:type="dxa" w:w="3851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Vol d'identifiants, compromission</w:t>
            </w:r>
          </w:p>
        </w:tc>
        <w:tc>
          <w:tcPr>
            <w:tcW w:type="dxa" w:w="147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Très grave</w:t>
            </w:r>
          </w:p>
        </w:tc>
      </w:tr>
      <w:tr>
        <w:trPr>
          <w:cantSplit/>
          <w:tblHeader w:val="false"/>
        </w:trPr>
        <w:tc>
          <w:tcPr>
            <w:tcW w:type="dxa" w:w="47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Courriel légitime classé indésirable</w:t>
            </w:r>
          </w:p>
        </w:tc>
        <w:tc>
          <w:tcPr>
            <w:tcW w:type="dxa" w:w="38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Message utile égaré</w:t>
            </w:r>
          </w:p>
        </w:tc>
        <w:tc>
          <w:tcPr>
            <w:tcW w:type="dxa" w:w="14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Moyenne</w:t>
            </w:r>
          </w:p>
        </w:tc>
      </w:tr>
      <w:tr>
        <w:trPr>
          <w:cantSplit/>
          <w:tblHeader w:val="false"/>
        </w:trPr>
        <w:tc>
          <w:tcPr>
            <w:tcW w:type="dxa" w:w="4757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Publicité livrée normalement</w:t>
            </w:r>
          </w:p>
        </w:tc>
        <w:tc>
          <w:tcPr>
            <w:tcW w:type="dxa" w:w="3851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Agaçant</w:t>
            </w:r>
          </w:p>
        </w:tc>
        <w:tc>
          <w:tcPr>
            <w:tcW w:type="dxa" w:w="147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Faible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spacing w:after="100" w:before="60" w:line="264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Aucun réglage ne minimise les deux premières à la fois. </w:t>
      </w: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Assumer et argumenter ce compromis, c'est le cœur du métier d'analyste.</w:t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Échéancier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1200"/>
        <w:gridCol w:w="4320"/>
        <w:gridCol w:w="4560"/>
      </w:tblGrid>
      <w:tr>
        <w:trPr>
          <w:cantSplit/>
          <w:tblHeader/>
        </w:trPr>
        <w:tc>
          <w:tcPr>
            <w:tcW w:type="dxa" w:w="1200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Semaine</w:t>
            </w:r>
          </w:p>
        </w:tc>
        <w:tc>
          <w:tcPr>
            <w:tcW w:type="dxa" w:w="4320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Travail</w:t>
            </w:r>
          </w:p>
        </w:tc>
        <w:tc>
          <w:tcPr>
            <w:tcW w:type="dxa" w:w="4560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Jalon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Composantes 1.1 et 1.2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Domaines et liens classés correctement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Composantes 1.3, 1.4 et module 2</w:t>
            </w:r>
          </w:p>
        </w:tc>
        <w:tc>
          <w:tcPr>
            <w:tcW w:type="dxa" w:w="4560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Toutes les règles fonctionnent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Moteur de scoring et </w:t>
            </w: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première mesure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Matrice de confusion produite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Modèles d'apprentissage</w:t>
            </w:r>
          </w:p>
        </w:tc>
        <w:tc>
          <w:tcPr>
            <w:tcW w:type="dxa" w:w="4560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Deux modèles entraînés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Comparaison et rapport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Tableau comparatif commenté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pBdr>
          <w:left w:val="single" w:color="D9A441" w:sz="18" w:space="10"/>
        </w:pBdr>
        <w:shd w:fill="FFF8E7" w:color="auto" w:val="clear"/>
        <w:spacing w:after="140" w:before="120" w:line="264"/>
        <w:ind w:left="180" w:right="180"/>
      </w:pPr>
      <w:r>
        <w:rPr>
          <w:rFonts w:ascii="Aptos" w:cs="Aptos" w:eastAsia="Aptos" w:hAnsi="Aptos"/>
          <w:b/>
          <w:bCs/>
          <w:color w:val="1A1A1A"/>
          <w:sz w:val="19"/>
          <w:szCs w:val="19"/>
        </w:rPr>
        <w:t xml:space="preserve">Le jalon de la semaine 3 est le point de bascule du projet.</w:t>
      </w:r>
      <w:r>
        <w:rPr>
          <w:rFonts w:ascii="Aptos" w:cs="Aptos" w:eastAsia="Aptos" w:hAnsi="Aptos"/>
          <w:color w:val="1A1A1A"/>
          <w:sz w:val="19"/>
          <w:szCs w:val="19"/>
        </w:rPr>
        <w:t xml:space="preserve"> Sans mesure chiffrée à ce moment-là, la comparaison finale n'a rien à quoi se comparer.</w:t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Livrables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7514"/>
        <w:gridCol w:w="2566"/>
      </w:tblGrid>
      <w:tr>
        <w:trPr>
          <w:cantSplit/>
          <w:tblHeader/>
        </w:trPr>
        <w:tc>
          <w:tcPr>
            <w:tcW w:type="dxa" w:w="7514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Livrable</w:t>
            </w:r>
          </w:p>
        </w:tc>
        <w:tc>
          <w:tcPr>
            <w:tcW w:type="dxa" w:w="2566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Pondération</w:t>
            </w:r>
          </w:p>
        </w:tc>
      </w:tr>
      <w:tr>
        <w:trPr>
          <w:cantSplit/>
          <w:tblHeader w:val="false"/>
        </w:trPr>
        <w:tc>
          <w:tcPr>
            <w:tcW w:type="dxa" w:w="75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Code fonctionnel, structuré et commenté</w:t>
            </w:r>
          </w:p>
        </w:tc>
        <w:tc>
          <w:tcPr>
            <w:tcW w:type="dxa" w:w="25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25 %</w:t>
            </w:r>
          </w:p>
        </w:tc>
      </w:tr>
      <w:tr>
        <w:trPr>
          <w:cantSplit/>
          <w:tblHeader w:val="false"/>
        </w:trPr>
        <w:tc>
          <w:tcPr>
            <w:tcW w:type="dxa" w:w="7514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Rapport technique</w:t>
            </w:r>
          </w:p>
        </w:tc>
        <w:tc>
          <w:tcPr>
            <w:tcW w:type="dxa" w:w="256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25 %</w:t>
            </w:r>
          </w:p>
        </w:tc>
      </w:tr>
      <w:tr>
        <w:trPr>
          <w:cantSplit/>
          <w:tblHeader w:val="false"/>
        </w:trPr>
        <w:tc>
          <w:tcPr>
            <w:tcW w:type="dxa" w:w="75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Tableau comparatif règles vs IA, commenté</w:t>
            </w:r>
          </w:p>
        </w:tc>
        <w:tc>
          <w:tcPr>
            <w:tcW w:type="dxa" w:w="25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20 %</w:t>
            </w:r>
          </w:p>
        </w:tc>
      </w:tr>
      <w:tr>
        <w:trPr>
          <w:cantSplit/>
          <w:tblHeader w:val="false"/>
        </w:trPr>
        <w:tc>
          <w:tcPr>
            <w:tcW w:type="dxa" w:w="7514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Analyse des erreurs</w:t>
            </w:r>
          </w:p>
        </w:tc>
        <w:tc>
          <w:tcPr>
            <w:tcW w:type="dxa" w:w="2566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15 %</w:t>
            </w:r>
          </w:p>
        </w:tc>
      </w:tr>
      <w:tr>
        <w:trPr>
          <w:cantSplit/>
          <w:tblHeader w:val="false"/>
        </w:trPr>
        <w:tc>
          <w:tcPr>
            <w:tcW w:type="dxa" w:w="75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Présentation orale (10 min)</w:t>
            </w:r>
          </w:p>
        </w:tc>
        <w:tc>
          <w:tcPr>
            <w:tcW w:type="dxa" w:w="25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15 %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p>
      <w:pPr>
        <w:spacing w:after="100" w:before="60" w:line="264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Ce qui est réellement évalué.</w:t>
      </w:r>
      <w:r>
        <w:rPr>
          <w:rFonts w:ascii="Aptos" w:cs="Aptos" w:eastAsia="Aptos" w:hAnsi="Aptos"/>
          <w:color w:val="1A1A1A"/>
          <w:sz w:val="20"/>
          <w:szCs w:val="20"/>
        </w:rPr>
        <w:t xml:space="preserve"> Entraîner un modèle tient en cinq lignes trouvables en ligne. La note porte donc sur ce qui ne se copie pas : les tableaux d'observation remplis à la main, la justification de chaque seuil, l'analyse honnête des faux positifs, et la capacité à expliquer une décision du système à quelqu'un qui ne programme pas.</w:t>
      </w:r>
    </w:p>
    <w:p>
      <w:pPr>
        <w:pBdr>
          <w:bottom w:val="single" w:color="B8C4CC" w:sz="6" w:space="2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20"/>
      </w:pPr>
      <w:r>
        <w:rPr>
          <w:rFonts w:ascii="Aptos" w:cs="Aptos" w:eastAsia="Aptos" w:hAnsi="Aptos"/>
          <w:b/>
          <w:bCs/>
          <w:color w:val="1F4E5F"/>
          <w:sz w:val="25"/>
          <w:szCs w:val="25"/>
        </w:rPr>
        <w:t xml:space="preserve">Compétences développées</w:t>
      </w:r>
    </w:p>
    <w:tbl>
      <w:tblPr>
        <w:tblW w:type="dxa" w:w="10080"/>
        <w:tblBorders>
          <w:top w:val="single" w:color="C3CDD4" w:sz="2"/>
          <w:left w:val="single" w:color="C3CDD4" w:sz="2"/>
          <w:bottom w:val="single" w:color="C3CDD4" w:sz="2"/>
          <w:right w:val="single" w:color="C3CDD4" w:sz="2"/>
          <w:insideH w:val="single" w:color="C3CDD4" w:sz="2"/>
          <w:insideV w:val="single" w:color="C3CDD4" w:sz="2"/>
        </w:tblBorders>
        <w:tblLayout w:type="fixed"/>
      </w:tblPr>
      <w:tblGrid>
        <w:gridCol w:w="2772"/>
        <w:gridCol w:w="7308"/>
      </w:tblGrid>
      <w:tr>
        <w:trPr>
          <w:cantSplit/>
          <w:tblHeader/>
        </w:trPr>
        <w:tc>
          <w:tcPr>
            <w:tcW w:type="dxa" w:w="2772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Domaine</w:t>
            </w:r>
          </w:p>
        </w:tc>
        <w:tc>
          <w:tcPr>
            <w:tcW w:type="dxa" w:w="7308"/>
            <w:shd w:fill="DCE6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Acquis</w:t>
            </w:r>
          </w:p>
        </w:tc>
      </w:tr>
      <w:tr>
        <w:trPr>
          <w:cantSplit/>
          <w:tblHeader w:val="false"/>
        </w:trPr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Cybersécurité</w:t>
            </w:r>
          </w:p>
        </w:tc>
        <w:tc>
          <w:tcPr>
            <w:tcW w:type="dxa" w:w="73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Anatomie de l'hameçonnage, analyse de domaines et d'en-têtes, notions de SOC</w:t>
            </w:r>
          </w:p>
        </w:tc>
      </w:tr>
      <w:tr>
        <w:trPr>
          <w:cantSplit/>
          <w:tblHeader w:val="false"/>
        </w:trPr>
        <w:tc>
          <w:tcPr>
            <w:tcW w:type="dxa" w:w="277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Programmation</w:t>
            </w:r>
          </w:p>
        </w:tc>
        <w:tc>
          <w:tcPr>
            <w:tcW w:type="dxa" w:w="7308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Chaînes de caractères, expressions régulières, structuration d'un projet en modules</w:t>
            </w:r>
          </w:p>
        </w:tc>
      </w:tr>
      <w:tr>
        <w:trPr>
          <w:cantSplit/>
          <w:tblHeader w:val="false"/>
        </w:trPr>
        <w:tc>
          <w:tcPr>
            <w:tcW w:type="dxa" w:w="27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Science des données</w:t>
            </w:r>
          </w:p>
        </w:tc>
        <w:tc>
          <w:tcPr>
            <w:tcW w:type="dxa" w:w="73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Caractéristiques, séparation entraînement/test, matrice de confusion, précision et rappel</w:t>
            </w:r>
          </w:p>
        </w:tc>
      </w:tr>
      <w:tr>
        <w:trPr>
          <w:cantSplit/>
          <w:tblHeader w:val="false"/>
        </w:trPr>
        <w:tc>
          <w:tcPr>
            <w:tcW w:type="dxa" w:w="2772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Jugement professionnel</w:t>
            </w:r>
          </w:p>
        </w:tc>
        <w:tc>
          <w:tcPr>
            <w:tcW w:type="dxa" w:w="7308"/>
            <w:shd w:fill="F7F9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18"/>
                <w:szCs w:val="18"/>
              </w:rPr>
              <w:t xml:space="preserve">Compromis entre faux positifs et faux négatifs, limites de l'automatisation, responsabilité</w:t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color w:val="5A6570"/>
        <w:sz w:val="16"/>
        <w:szCs w:val="16"/>
      </w:rPr>
      <w:t xml:space="preserve">SP-A — Détection de courriels malveillants   ·   page </w:t>
    </w:r>
    <w:r>
      <w:rPr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  <w:lvl w:ilvl="1" w15:tentative="1">
      <w:start w:val="1"/>
      <w:numFmt w:val="lowerLetter"/>
      <w:lvlText w:val="%2)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étudiant — Détection de courriels malveillants</dc:title>
  <dc:creator>Cégep — Cybersécurité</dc:creator>
  <dc:description>Situation-problème SP-A</dc:description>
  <cp:lastModifiedBy>Un-named</cp:lastModifiedBy>
  <cp:revision>1</cp:revision>
  <dcterms:created xsi:type="dcterms:W3CDTF">2026-08-08T16:54:51.165Z</dcterms:created>
  <dcterms:modified xsi:type="dcterms:W3CDTF">2026-08-08T16:54:51.179Z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