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Title"/>
        <w:rPr/>
      </w:pPr>
      <w:bookmarkStart w:colFirst="0" w:colLast="0" w:name="_w4q7hmah4mjl" w:id="0"/>
      <w:bookmarkEnd w:id="0"/>
      <w:r w:rsidDel="00000000" w:rsidR="00000000" w:rsidRPr="00000000">
        <w:rPr>
          <w:rtl w:val="0"/>
        </w:rPr>
        <w:t xml:space="preserve">PRD Title: R2P - Request 2 payment</w:t>
      </w:r>
    </w:p>
    <w:p w:rsidR="00000000" w:rsidDel="00000000" w:rsidP="00000000" w:rsidRDefault="00000000" w:rsidRPr="00000000" w14:paraId="00000003">
      <w:pPr>
        <w:rPr/>
      </w:pPr>
      <w:r w:rsidDel="00000000" w:rsidR="00000000" w:rsidRPr="00000000">
        <w:rPr>
          <w:rtl w:val="0"/>
        </w:rPr>
        <w:t xml:space="preserve">Author: Hamza Farooq</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pPr>
      <w:bookmarkStart w:colFirst="0" w:colLast="0" w:name="_ub7aaymx0gmq" w:id="1"/>
      <w:bookmarkEnd w:id="1"/>
      <w:r w:rsidDel="00000000" w:rsidR="00000000" w:rsidRPr="00000000">
        <w:rPr>
          <w:rtl w:val="0"/>
        </w:rPr>
        <w:t xml:space="preserve">Executive Summary:</w:t>
      </w:r>
    </w:p>
    <w:p w:rsidR="00000000" w:rsidDel="00000000" w:rsidP="00000000" w:rsidRDefault="00000000" w:rsidRPr="00000000" w14:paraId="00000006">
      <w:pPr>
        <w:rPr/>
      </w:pPr>
      <w:r w:rsidDel="00000000" w:rsidR="00000000" w:rsidRPr="00000000">
        <w:rPr>
          <w:rtl w:val="0"/>
        </w:rPr>
        <w:t xml:space="preserve">The payment landscape is pretty much saturated in terms of Use cases. However in the Pakistani market, a feature in payments that is essentially missing is R2P/ Request 2 Payment. In this product feature the payee initiatives the request of Payment.  A notification arrives to the payer and if authorized, their account gets debit. This use case is essential in consumer banking, Ecommerce transactions, B2B and even as a reminder for late payments. </w:t>
      </w:r>
    </w:p>
    <w:p w:rsidR="00000000" w:rsidDel="00000000" w:rsidP="00000000" w:rsidRDefault="00000000" w:rsidRPr="00000000" w14:paraId="00000007">
      <w:pPr>
        <w:pStyle w:val="Heading2"/>
        <w:rPr/>
      </w:pPr>
      <w:bookmarkStart w:colFirst="0" w:colLast="0" w:name="_4yucbvwm70b1" w:id="2"/>
      <w:bookmarkEnd w:id="2"/>
      <w:r w:rsidDel="00000000" w:rsidR="00000000" w:rsidRPr="00000000">
        <w:rPr>
          <w:rtl w:val="0"/>
        </w:rPr>
        <w:t xml:space="preserve">Objectives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Increase transaction volume</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Make a new payment use case to attract users</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Bill payment slip</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A product feature for GEN Z</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Increase payment volume</w:t>
      </w:r>
    </w:p>
    <w:p w:rsidR="00000000" w:rsidDel="00000000" w:rsidP="00000000" w:rsidRDefault="00000000" w:rsidRPr="00000000" w14:paraId="0000000E">
      <w:pPr>
        <w:pStyle w:val="Heading2"/>
        <w:rPr/>
      </w:pPr>
      <w:bookmarkStart w:colFirst="0" w:colLast="0" w:name="_hjwdqpdq5upn" w:id="3"/>
      <w:bookmarkEnd w:id="3"/>
      <w:r w:rsidDel="00000000" w:rsidR="00000000" w:rsidRPr="00000000">
        <w:rPr>
          <w:rtl w:val="0"/>
        </w:rPr>
        <w:t xml:space="preserve">Constraints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Interoperability.</w:t>
      </w:r>
    </w:p>
    <w:p w:rsidR="00000000" w:rsidDel="00000000" w:rsidP="00000000" w:rsidRDefault="00000000" w:rsidRPr="00000000" w14:paraId="00000011">
      <w:pPr>
        <w:pStyle w:val="Heading2"/>
        <w:rPr/>
      </w:pPr>
      <w:bookmarkStart w:colFirst="0" w:colLast="0" w:name="_w21ard1w453p" w:id="4"/>
      <w:bookmarkEnd w:id="4"/>
      <w:r w:rsidDel="00000000" w:rsidR="00000000" w:rsidRPr="00000000">
        <w:rPr>
          <w:rtl w:val="0"/>
        </w:rPr>
        <w:t xml:space="preserve">Persona</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6885"/>
        <w:tblGridChange w:id="0">
          <w:tblGrid>
            <w:gridCol w:w="2475"/>
            <w:gridCol w:w="6885"/>
          </w:tblGrid>
        </w:tblGridChange>
      </w:tblGrid>
      <w:tr>
        <w:trPr>
          <w:cantSplit w:val="0"/>
          <w:tblHeader w:val="0"/>
        </w:trPr>
        <w:tc>
          <w:tcPr>
            <w:tcBorders>
              <w:top w:color="000000" w:space="0" w:sz="0" w:val="nil"/>
              <w:left w:color="000000" w:space="0" w:sz="0" w:val="nil"/>
              <w:bottom w:color="e5e5eb" w:space="0" w:sz="8" w:val="single"/>
              <w:right w:color="e5e5e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spacing w:line="240" w:lineRule="auto"/>
              <w:rPr/>
            </w:pPr>
            <w:r w:rsidDel="00000000" w:rsidR="00000000" w:rsidRPr="00000000">
              <w:rPr>
                <w:rtl w:val="0"/>
              </w:rPr>
              <w:t xml:space="preserve">Gen Z Friends</w:t>
            </w:r>
          </w:p>
        </w:tc>
        <w:tc>
          <w:tcPr>
            <w:tcBorders>
              <w:top w:color="000000" w:space="0" w:sz="0" w:val="nil"/>
              <w:left w:color="e5e5eb" w:space="0" w:sz="8" w:val="single"/>
              <w:bottom w:color="e5e5eb"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5">
            <w:pPr>
              <w:spacing w:line="240" w:lineRule="auto"/>
              <w:rPr/>
            </w:pPr>
            <w:r w:rsidDel="00000000" w:rsidR="00000000" w:rsidRPr="00000000">
              <w:rPr>
                <w:rtl w:val="0"/>
              </w:rPr>
              <w:t xml:space="preserve">Bill payments at restaurants for e.g. of 5000. Rather than sending money in one account, R2P can be generated and all money can be sent in one account rather than the payer sending their credentials in group chats.</w:t>
            </w:r>
          </w:p>
        </w:tc>
      </w:tr>
      <w:tr>
        <w:trPr>
          <w:cantSplit w:val="0"/>
          <w:tblHeader w:val="0"/>
        </w:trPr>
        <w:tc>
          <w:tcPr>
            <w:tcBorders>
              <w:top w:color="e5e5eb" w:space="0" w:sz="8" w:val="single"/>
              <w:left w:color="000000" w:space="0" w:sz="0" w:val="nil"/>
              <w:bottom w:color="e5e5eb" w:space="0" w:sz="8" w:val="single"/>
              <w:right w:color="e5e5e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spacing w:line="240" w:lineRule="auto"/>
              <w:rPr/>
            </w:pPr>
            <w:r w:rsidDel="00000000" w:rsidR="00000000" w:rsidRPr="00000000">
              <w:rPr>
                <w:rtl w:val="0"/>
              </w:rPr>
              <w:t xml:space="preserve">Ecommerce</w:t>
            </w:r>
          </w:p>
        </w:tc>
        <w:tc>
          <w:tcPr>
            <w:tcBorders>
              <w:top w:color="e5e5eb" w:space="0" w:sz="8" w:val="single"/>
              <w:left w:color="e5e5eb" w:space="0" w:sz="8" w:val="single"/>
              <w:bottom w:color="e5e5eb"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7">
            <w:pPr>
              <w:spacing w:line="240" w:lineRule="auto"/>
              <w:rPr/>
            </w:pPr>
            <w:r w:rsidDel="00000000" w:rsidR="00000000" w:rsidRPr="00000000">
              <w:rPr>
                <w:rtl w:val="0"/>
              </w:rPr>
              <w:t xml:space="preserve">Cash on Delivery is a result of trust deficit. R2P will enable trust as payment can be done at the time of receiving parcel.</w:t>
            </w:r>
          </w:p>
        </w:tc>
      </w:tr>
      <w:tr>
        <w:trPr>
          <w:cantSplit w:val="0"/>
          <w:tblHeader w:val="0"/>
        </w:trPr>
        <w:tc>
          <w:tcPr>
            <w:tcBorders>
              <w:top w:color="e5e5eb" w:space="0" w:sz="8" w:val="single"/>
              <w:left w:color="000000" w:space="0" w:sz="0" w:val="nil"/>
              <w:bottom w:color="000000" w:space="0" w:sz="0" w:val="nil"/>
              <w:right w:color="e5e5e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spacing w:line="240" w:lineRule="auto"/>
              <w:rPr/>
            </w:pPr>
            <w:r w:rsidDel="00000000" w:rsidR="00000000" w:rsidRPr="00000000">
              <w:rPr>
                <w:rtl w:val="0"/>
              </w:rPr>
            </w:r>
          </w:p>
        </w:tc>
        <w:tc>
          <w:tcPr>
            <w:tcBorders>
              <w:top w:color="e5e5eb" w:space="0" w:sz="8" w:val="single"/>
              <w:left w:color="e5e5eb" w:space="0" w:sz="8"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9">
            <w:pPr>
              <w:spacing w:line="240" w:lineRule="auto"/>
              <w:rPr/>
            </w:pPr>
            <w:r w:rsidDel="00000000" w:rsidR="00000000" w:rsidRPr="00000000">
              <w:rPr>
                <w:rtl w:val="0"/>
              </w:rPr>
            </w:r>
          </w:p>
        </w:tc>
      </w:tr>
    </w:tbl>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rPr/>
      </w:pPr>
      <w:bookmarkStart w:colFirst="0" w:colLast="0" w:name="_65f1nsjl5xvt" w:id="5"/>
      <w:bookmarkEnd w:id="5"/>
      <w:r w:rsidDel="00000000" w:rsidR="00000000" w:rsidRPr="00000000">
        <w:rPr>
          <w:rtl w:val="0"/>
        </w:rPr>
        <w:t xml:space="preserve">Use Cases</w:t>
      </w:r>
    </w:p>
    <w:p w:rsidR="00000000" w:rsidDel="00000000" w:rsidP="00000000" w:rsidRDefault="00000000" w:rsidRPr="00000000" w14:paraId="0000001C">
      <w:pPr>
        <w:pStyle w:val="Heading3"/>
        <w:rPr/>
      </w:pPr>
      <w:bookmarkStart w:colFirst="0" w:colLast="0" w:name="_h9pzcj9ty2ms" w:id="6"/>
      <w:bookmarkEnd w:id="6"/>
      <w:r w:rsidDel="00000000" w:rsidR="00000000" w:rsidRPr="00000000">
        <w:rPr>
          <w:rtl w:val="0"/>
        </w:rPr>
        <w:t xml:space="preserve">Consumer Banking</w:t>
      </w:r>
    </w:p>
    <w:p w:rsidR="00000000" w:rsidDel="00000000" w:rsidP="00000000" w:rsidRDefault="00000000" w:rsidRPr="00000000" w14:paraId="0000001D">
      <w:pPr>
        <w:pStyle w:val="Heading3"/>
        <w:rPr/>
      </w:pPr>
      <w:bookmarkStart w:colFirst="0" w:colLast="0" w:name="_gxwdymdzh3v" w:id="7"/>
      <w:bookmarkEnd w:id="7"/>
      <w:r w:rsidDel="00000000" w:rsidR="00000000" w:rsidRPr="00000000">
        <w:rPr>
          <w:rtl w:val="0"/>
        </w:rPr>
        <w:t xml:space="preserve">B2B</w:t>
      </w:r>
    </w:p>
    <w:p w:rsidR="00000000" w:rsidDel="00000000" w:rsidP="00000000" w:rsidRDefault="00000000" w:rsidRPr="00000000" w14:paraId="0000001E">
      <w:pPr>
        <w:pStyle w:val="Heading3"/>
        <w:rPr/>
      </w:pPr>
      <w:bookmarkStart w:colFirst="0" w:colLast="0" w:name="_3ipxfz484ktk" w:id="8"/>
      <w:bookmarkEnd w:id="8"/>
      <w:r w:rsidDel="00000000" w:rsidR="00000000" w:rsidRPr="00000000">
        <w:rPr>
          <w:rtl w:val="0"/>
        </w:rPr>
        <w:t xml:space="preserve">B2P</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sectPr>
      <w:headerReference r:id="rId6" w:type="default"/>
      <w:headerReference r:id="rId7" w:type="first"/>
      <w:footerReference r:id="rId8"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tabs>
        <w:tab w:val="left" w:leader="none" w:pos="8460"/>
      </w:tabs>
      <w:spacing w:before="240" w:line="240" w:lineRule="auto"/>
      <w:jc w:val="right"/>
      <w:rPr>
        <w:color w:val="103869"/>
      </w:rPr>
    </w:pPr>
    <w:hyperlink r:id="rId1">
      <w:r w:rsidDel="00000000" w:rsidR="00000000" w:rsidRPr="00000000">
        <w:rPr>
          <w:color w:val="103869"/>
          <w:sz w:val="18"/>
          <w:szCs w:val="18"/>
          <w:u w:val="single"/>
          <w:rtl w:val="0"/>
        </w:rPr>
        <w:t xml:space="preserve">☝️ Get all our Product Management Templates</w:t>
      </w:r>
    </w:hyperlink>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spacing w:before="240" w:line="253" w:lineRule="auto"/>
      <w:jc w:val="both"/>
      <w:rPr>
        <w:rFonts w:ascii="Lato" w:cs="Lato" w:eastAsia="Lato" w:hAnsi="Lato"/>
        <w:color w:val="3c4856"/>
        <w:sz w:val="20"/>
        <w:szCs w:val="20"/>
      </w:rPr>
    </w:pPr>
    <w:r w:rsidDel="00000000" w:rsidR="00000000" w:rsidRPr="00000000">
      <w:rPr>
        <w:rFonts w:ascii="Lato" w:cs="Lato" w:eastAsia="Lato" w:hAnsi="Lato"/>
        <w:color w:val="3c4856"/>
        <w:sz w:val="20"/>
        <w:szCs w:val="20"/>
      </w:rPr>
      <w:drawing>
        <wp:inline distB="114300" distT="114300" distL="114300" distR="114300">
          <wp:extent cx="1176338" cy="211571"/>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76338" cy="211571"/>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before="240" w:line="253" w:lineRule="auto"/>
      <w:jc w:val="both"/>
      <w:rPr>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spacing w:before="240" w:line="253" w:lineRule="auto"/>
      <w:jc w:val="center"/>
      <w:rPr/>
    </w:pPr>
    <w:r w:rsidDel="00000000" w:rsidR="00000000" w:rsidRPr="00000000">
      <w:rPr>
        <w:sz w:val="20"/>
        <w:szCs w:val="20"/>
      </w:rPr>
      <w:drawing>
        <wp:inline distB="114300" distT="114300" distL="114300" distR="114300">
          <wp:extent cx="1176338" cy="211571"/>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76338" cy="211571"/>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color w:val="3c4856"/>
        <w:sz w:val="21"/>
        <w:szCs w:val="21"/>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253" w:lineRule="auto"/>
      <w:jc w:val="both"/>
    </w:pPr>
    <w:rPr>
      <w:rFonts w:ascii="Poppins SemiBold" w:cs="Poppins SemiBold" w:eastAsia="Poppins SemiBold" w:hAnsi="Poppins SemiBold"/>
      <w:color w:val="0f243e"/>
      <w:sz w:val="40"/>
      <w:szCs w:val="40"/>
    </w:rPr>
  </w:style>
  <w:style w:type="paragraph" w:styleId="Heading2">
    <w:name w:val="heading 2"/>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hd w:fill="ffffff" w:val="clear"/>
      <w:spacing w:after="120" w:before="360" w:line="240" w:lineRule="auto"/>
    </w:pPr>
    <w:rPr>
      <w:rFonts w:ascii="Poppins SemiBold" w:cs="Poppins SemiBold" w:eastAsia="Poppins SemiBold" w:hAnsi="Poppins SemiBold"/>
      <w:color w:val="07182c"/>
      <w:sz w:val="32"/>
      <w:szCs w:val="32"/>
    </w:rPr>
  </w:style>
  <w:style w:type="paragraph" w:styleId="Heading3">
    <w:name w:val="heading 3"/>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hd w:fill="ffffff" w:val="clear"/>
      <w:spacing w:after="160" w:before="240" w:line="240" w:lineRule="auto"/>
    </w:pPr>
    <w:rPr>
      <w:b w:val="1"/>
      <w:bCs w:val="1"/>
      <w:color w:val="0f243e"/>
      <w:sz w:val="22"/>
      <w:szCs w:val="22"/>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rFonts w:ascii="Poppins SemiBold" w:cs="Poppins SemiBold" w:eastAsia="Poppins SemiBold" w:hAnsi="Poppins SemiBold"/>
      <w:color w:val="07182c"/>
      <w:sz w:val="52"/>
      <w:szCs w:val="52"/>
    </w:rPr>
  </w:style>
  <w:style w:type="paragraph" w:styleId="Subtitle">
    <w:name w:val="Subtitle"/>
    <w:basedOn w:val="Normal"/>
    <w:next w:val="Normal"/>
    <w:pPr>
      <w:keepNext w:val="1"/>
      <w:keepLines w:val="1"/>
      <w:spacing w:after="100" w:before="240" w:line="240" w:lineRule="auto"/>
    </w:pPr>
    <w:rPr>
      <w:rFonts w:ascii="Poppins SemiBold" w:cs="Poppins SemiBold" w:eastAsia="Poppins SemiBold" w:hAnsi="Poppins SemiBold"/>
      <w:color w:val="85859f"/>
      <w:sz w:val="28"/>
      <w:szCs w:val="2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PoppinsSemiBold-regular.ttf"/><Relationship Id="rId6" Type="http://schemas.openxmlformats.org/officeDocument/2006/relationships/font" Target="fonts/PoppinsSemiBold-bold.ttf"/><Relationship Id="rId7" Type="http://schemas.openxmlformats.org/officeDocument/2006/relationships/font" Target="fonts/PoppinsSemiBold-italic.ttf"/><Relationship Id="rId8" Type="http://schemas.openxmlformats.org/officeDocument/2006/relationships/font" Target="fonts/PoppinsSemiBold-boldItalic.ttf"/></Relationships>
</file>

<file path=word/_rels/footer1.xml.rels><?xml version="1.0" encoding="UTF-8" standalone="yes"?><Relationships xmlns="http://schemas.openxmlformats.org/package/2006/relationships"><Relationship Id="rId1" Type="http://schemas.openxmlformats.org/officeDocument/2006/relationships/hyperlink" Target="https://prdct.school/3UJTH4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