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55C" w:rsidRPr="00D41F5D" w:rsidRDefault="00A4732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=f(t, y)</m:t>
          </m:r>
        </m:oMath>
      </m:oMathPara>
    </w:p>
    <w:p w:rsidR="00D41F5D" w:rsidRPr="00D41F5D" w:rsidRDefault="00A473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+hf(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D41F5D" w:rsidRPr="00D41F5D" w:rsidRDefault="00D41F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41F5D" w:rsidRPr="00706049" w:rsidRDefault="00A4732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  <m:sup>
              <m:r>
                <w:rPr>
                  <w:rFonts w:ascii="Cambria Math" w:eastAsiaTheme="minorEastAsia" w:hAnsi="Cambria Math"/>
                </w:rPr>
                <m:t>[0]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,  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  <m:sup>
              <m:r>
                <w:rPr>
                  <w:rFonts w:ascii="Cambria Math" w:eastAsiaTheme="minorEastAsia" w:hAnsi="Cambria Math"/>
                </w:rPr>
                <m:t>[i+1]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+hf(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  <m:sup>
              <m:r>
                <w:rPr>
                  <w:rFonts w:ascii="Cambria Math" w:eastAsiaTheme="minorEastAsia" w:hAnsi="Cambria Math"/>
                </w:rPr>
                <m:t>[i]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706049" w:rsidRPr="00D41F5D" w:rsidRDefault="00A4732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 y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</m:oMath>
      </m:oMathPara>
    </w:p>
    <w:p w:rsidR="00D41F5D" w:rsidRPr="00D41F5D" w:rsidRDefault="00D41F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f(t, y(t))dt</m:t>
              </m:r>
            </m:e>
          </m:nary>
        </m:oMath>
      </m:oMathPara>
    </w:p>
    <w:p w:rsidR="00D41F5D" w:rsidRPr="00A4732C" w:rsidRDefault="00D41F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-y(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)≈hf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, y(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A4732C" w:rsidRDefault="00A4732C">
      <w:pPr>
        <w:rPr>
          <w:rFonts w:eastAsiaTheme="minorEastAsia"/>
        </w:rPr>
      </w:pPr>
    </w:p>
    <w:p w:rsidR="00A4732C" w:rsidRDefault="00A4732C" w:rsidP="00A4732C">
      <w:pPr>
        <w:pStyle w:val="SectionHeading"/>
        <w:outlineLvl w:val="0"/>
      </w:pPr>
      <w:r>
        <w:t>Method of Lines</w:t>
      </w:r>
    </w:p>
    <w:p w:rsidR="00A4732C" w:rsidRDefault="00A4732C" w:rsidP="00A4732C">
      <w:pPr>
        <w:pStyle w:val="BodyText"/>
        <w:ind w:firstLine="0"/>
      </w:pPr>
      <w:r>
        <w:t>The method of lines was introduced to take the place of spatial differential operator by an approximation.</w:t>
      </w:r>
    </w:p>
    <w:p w:rsidR="00A4732C" w:rsidRDefault="00A4732C" w:rsidP="00A4732C">
      <w:pPr>
        <w:pStyle w:val="BodyText"/>
        <w:ind w:firstLine="0"/>
      </w:pPr>
      <w:r w:rsidRPr="00E00006">
        <w:t xml:space="preserve">We </w:t>
      </w:r>
      <w:r>
        <w:t xml:space="preserve">have to </w:t>
      </w:r>
      <w:r w:rsidRPr="00E00006">
        <w:t xml:space="preserve">choose the </w:t>
      </w:r>
      <w:r>
        <w:t>finite diff</w:t>
      </w:r>
      <w:r w:rsidRPr="00E00006">
        <w:t>erence discretization</w:t>
      </w:r>
      <w:r>
        <w:t xml:space="preserve"> method that</w:t>
      </w:r>
      <w:r w:rsidRPr="00E00006">
        <w:t xml:space="preserve"> we have already employed for the Poisson equation</w:t>
      </w:r>
      <w:r>
        <w:t>.</w:t>
      </w:r>
    </w:p>
    <w:p w:rsidR="00A4732C" w:rsidRDefault="00A4732C" w:rsidP="00A4732C">
      <w:pPr>
        <w:pStyle w:val="BodyText"/>
        <w:ind w:firstLine="0"/>
      </w:pPr>
      <w:r>
        <w:t>We approximate the differential operator delta by</w:t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Ω 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Ω 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</m:oMath>
      </m:oMathPara>
    </w:p>
    <w:p w:rsidR="00A4732C" w:rsidRDefault="00A4732C" w:rsidP="00A4732C">
      <w:pPr>
        <w:pStyle w:val="BodyText"/>
        <w:ind w:firstLine="0"/>
        <w:jc w:val="center"/>
      </w:pPr>
    </w:p>
    <w:p w:rsidR="00A4732C" w:rsidRDefault="00A4732C" w:rsidP="00A4732C">
      <w:pPr>
        <w:pStyle w:val="BodyText"/>
        <w:ind w:firstLine="0"/>
      </w:pPr>
      <w:r>
        <w:t>Defined as</w:t>
      </w:r>
    </w:p>
    <w:p w:rsidR="00A4732C" w:rsidRPr="001A7DC7" w:rsidRDefault="00A4732C" w:rsidP="00A4732C">
      <w:pPr>
        <w:pStyle w:val="BodyText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A4732C" w:rsidRDefault="00A4732C" w:rsidP="00A4732C">
      <w:pPr>
        <w:pStyle w:val="BodyText"/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</m:e>
              </m:d>
              <m:r>
                <w:rPr>
                  <w:rFonts w:ascii="Cambria Math" w:hAnsi="Cambria Math"/>
                </w:rPr>
                <m:t>-4v(x)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t>For all x belongs to (Omega)h and extended by</w:t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4732C" w:rsidRDefault="00A4732C" w:rsidP="00A4732C">
      <w:pPr>
        <w:pStyle w:val="BodyText"/>
        <w:ind w:firstLine="0"/>
        <w:jc w:val="center"/>
      </w:pPr>
    </w:p>
    <w:p w:rsidR="00A4732C" w:rsidRDefault="00A4732C" w:rsidP="00A4732C">
      <w:pPr>
        <w:pStyle w:val="BodyText"/>
        <w:ind w:firstLine="0"/>
      </w:pPr>
      <w:r>
        <w:t>Replacing u, g, and uo by</w:t>
      </w:r>
    </w:p>
    <w:p w:rsidR="00A4732C" w:rsidRDefault="00A4732C" w:rsidP="00A4732C">
      <w:pPr>
        <w:pStyle w:val="BodyText"/>
        <w:ind w:firstLine="0"/>
      </w:pPr>
    </w:p>
    <w:p w:rsidR="00A4732C" w:rsidRPr="00777BA7" w:rsidRDefault="00A4732C" w:rsidP="00A4732C">
      <w:pPr>
        <w:pStyle w:val="BodyText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:=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:=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 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, </m:t>
          </m:r>
        </m:oMath>
      </m:oMathPara>
    </w:p>
    <w:p w:rsidR="00A4732C" w:rsidRDefault="00A4732C" w:rsidP="00A4732C">
      <w:pPr>
        <w:pStyle w:val="BodyText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:=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 for all t</m:t>
          </m:r>
          <m:r>
            <m:rPr>
              <m:scr m:val="double-struck"/>
            </m:rPr>
            <w:rPr>
              <w:rFonts w:ascii="Cambria Math" w:hAnsi="Cambria Math"/>
            </w:rPr>
            <m:t xml:space="preserve"> ∈ R ≥</m:t>
          </m:r>
          <m:r>
            <w:rPr>
              <w:rFonts w:ascii="Cambria Math" w:hAnsi="Cambria Math"/>
            </w:rPr>
            <m:t>0</m:t>
          </m:r>
        </m:oMath>
      </m:oMathPara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t>We obtain the approximation</w:t>
      </w:r>
    </w:p>
    <w:p w:rsidR="00A4732C" w:rsidRDefault="00A4732C" w:rsidP="00A4732C">
      <w:pPr>
        <w:pStyle w:val="BodyText"/>
        <w:ind w:firstLine="0"/>
      </w:pPr>
    </w:p>
    <w:p w:rsidR="00A4732C" w:rsidRPr="00C250B0" w:rsidRDefault="00A4732C" w:rsidP="00A4732C">
      <w:pPr>
        <w:pStyle w:val="BodyText"/>
        <w:ind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(0)=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 ∆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(t)</m:t>
        </m:r>
      </m:oMath>
    </w:p>
    <w:p w:rsidR="00A4732C" w:rsidRDefault="00A4732C" w:rsidP="00A4732C">
      <w:pPr>
        <w:pStyle w:val="BodyText"/>
        <w:ind w:firstLine="0"/>
      </w:pPr>
      <m:oMathPara>
        <m:oMath>
          <m:r>
            <w:rPr>
              <w:rFonts w:ascii="Cambria Math" w:hAnsi="Cambria Math"/>
            </w:rPr>
            <m:t>for all t</m:t>
          </m:r>
          <m:r>
            <m:rPr>
              <m:scr m:val="double-struck"/>
            </m:rPr>
            <w:rPr>
              <w:rFonts w:ascii="Cambria Math" w:hAnsi="Cambria Math"/>
            </w:rPr>
            <m:t>∈ R ≥</m:t>
          </m:r>
          <m:r>
            <w:rPr>
              <w:rFonts w:ascii="Cambria Math" w:hAnsi="Cambria Math"/>
            </w:rPr>
            <m:t>0</m:t>
          </m:r>
        </m:oMath>
      </m:oMathPara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t>And the above equation is an ordinary differential equation in the finite dimensional space.</w:t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cr m:val="double-struck"/>
            </m:rPr>
            <w:rPr>
              <w:rFonts w:ascii="Cambria Math" w:hAnsi="Cambria Math"/>
            </w:rPr>
            <m:t>: R≥</m:t>
          </m:r>
          <m:r>
            <w:rPr>
              <w:rFonts w:ascii="Cambria Math" w:hAnsi="Cambria Math"/>
            </w:rPr>
            <m:t>0 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</m:oMath>
      </m:oMathPara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t>We can write (3.3) in the standard form</w:t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(0)=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(t)=f(t,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(t))</m:t>
        </m:r>
      </m:oMath>
    </w:p>
    <w:p w:rsidR="00A4732C" w:rsidRDefault="00A4732C" w:rsidP="00A4732C">
      <w:pPr>
        <w:pStyle w:val="BodyText"/>
        <w:ind w:firstLine="0"/>
        <w:jc w:val="center"/>
      </w:pPr>
    </w:p>
    <w:p w:rsidR="00A4732C" w:rsidRDefault="00A4732C" w:rsidP="00A4732C">
      <w:pPr>
        <w:pStyle w:val="BodyText"/>
        <w:ind w:firstLine="0"/>
        <w:jc w:val="center"/>
      </w:pPr>
      <m:oMathPara>
        <m:oMath>
          <m:r>
            <w:rPr>
              <w:rFonts w:ascii="Cambria Math" w:hAnsi="Cambria Math"/>
            </w:rPr>
            <m:t>for all t</m:t>
          </m:r>
          <m:r>
            <m:rPr>
              <m:scr m:val="double-struck"/>
            </m:rPr>
            <w:rPr>
              <w:rFonts w:ascii="Cambria Math" w:hAnsi="Cambria Math"/>
            </w:rPr>
            <m:t>∈ R≥</m:t>
          </m:r>
          <m:r>
            <w:rPr>
              <w:rFonts w:ascii="Cambria Math" w:hAnsi="Cambria Math"/>
            </w:rPr>
            <m:t>0   (3.5)</m:t>
          </m:r>
        </m:oMath>
      </m:oMathPara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Heading2"/>
      </w:pPr>
      <w:r w:rsidRPr="00AA7FC9">
        <w:t>Lemma 3.1</w:t>
      </w:r>
      <w:r>
        <w:t xml:space="preserve"> (Unique Solution) </w:t>
      </w:r>
    </w:p>
    <w:p w:rsidR="00A4732C" w:rsidRDefault="00A4732C" w:rsidP="00A4732C">
      <w:pPr>
        <w:pStyle w:val="BodyText"/>
        <w:ind w:firstLine="0"/>
      </w:pPr>
      <w:r>
        <w:t>As the ordinary differential equation has unique solution .i.e.</w:t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 w:rsidRPr="00AA7FC9">
        <w:rPr>
          <w:b/>
        </w:rPr>
        <w:t>Proof</w:t>
      </w:r>
      <w:r>
        <w:rPr>
          <w:b/>
        </w:rPr>
        <w:t xml:space="preserve"> - </w:t>
      </w:r>
      <w:r>
        <w:t>Since Go(Omega</w:t>
      </w:r>
      <w:r w:rsidRPr="00AA7FC9">
        <w:t xml:space="preserve">h) is </w:t>
      </w:r>
      <w:r>
        <w:t>finite-dimensional, the mapping Omega</w:t>
      </w:r>
      <w:r w:rsidRPr="00AA7FC9">
        <w:t>h is continuous, i.e., t</w:t>
      </w:r>
      <w:r>
        <w:t>here is a constant Co such that</w:t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∆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                    </w:t>
      </w:r>
      <m:oMath>
        <m:r>
          <w:rPr>
            <w:rFonts w:ascii="Cambria Math" w:hAnsi="Cambria Math"/>
          </w:rPr>
          <m:t xml:space="preserve">for all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)</m:t>
        </m:r>
      </m:oMath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 w:rsidRPr="00AA7FC9">
        <w:t>We find</w:t>
      </w:r>
    </w:p>
    <w:p w:rsidR="00A4732C" w:rsidRDefault="00A4732C" w:rsidP="00A4732C">
      <w:pPr>
        <w:pStyle w:val="BodyText"/>
        <w:ind w:firstLine="0"/>
      </w:pPr>
    </w:p>
    <w:p w:rsidR="00A4732C" w:rsidRPr="009D73F2" w:rsidRDefault="00A4732C" w:rsidP="00A4732C">
      <w:pPr>
        <w:pStyle w:val="BodyText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∥f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t,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t,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)∥</m:t>
              </m:r>
            </m:e>
            <m:sub>
              <m:r>
                <w:rPr>
                  <w:rFonts w:ascii="Cambria Math" w:hAnsi="Cambria Math"/>
                </w:rPr>
                <m:t xml:space="preserve">∞ 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∆</m:t>
              </m:r>
            </m:sub>
          </m:sSub>
          <m:r>
            <w:rPr>
              <w:rFonts w:ascii="Cambria Math" w:hAnsi="Cambria Math"/>
            </w:rPr>
            <m:t>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∥</m:t>
          </m:r>
        </m:oMath>
      </m:oMathPara>
    </w:p>
    <w:p w:rsidR="00A4732C" w:rsidRPr="009D73F2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m:oMathPara>
        <m:oMath>
          <m:r>
            <w:rPr>
              <w:rFonts w:ascii="Cambria Math" w:hAnsi="Cambria Math"/>
            </w:rPr>
            <m:t xml:space="preserve">for all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t>The existence of C</w:t>
      </w:r>
      <w:r w:rsidRPr="006227E4">
        <w:t xml:space="preserve"> is </w:t>
      </w:r>
      <w:r>
        <w:t xml:space="preserve">the result that </w:t>
      </w:r>
      <w:r w:rsidRPr="006227E4">
        <w:t xml:space="preserve">h is a linear mapping between </w:t>
      </w:r>
      <w:r>
        <w:t>fi</w:t>
      </w:r>
      <w:r w:rsidRPr="006227E4">
        <w:t xml:space="preserve">nite-dimensional spaces. </w:t>
      </w:r>
      <w:r>
        <w:t>This approach doesn’t provide</w:t>
      </w:r>
      <w:r w:rsidRPr="006227E4">
        <w:t xml:space="preserve"> any in</w:t>
      </w:r>
      <w:r>
        <w:t>formation regarding the behavio</w:t>
      </w:r>
      <w:r w:rsidRPr="006227E4">
        <w:t xml:space="preserve">r of the Lipschitz constant. In the case of our model problem, we can fortunately </w:t>
      </w:r>
      <w:r>
        <w:t>calculate</w:t>
      </w:r>
      <w:r w:rsidRPr="006227E4">
        <w:t xml:space="preserve"> all e</w:t>
      </w:r>
      <w:r>
        <w:t xml:space="preserve">igenvalues and eigenvectors of </w:t>
      </w:r>
      <w:r w:rsidRPr="006227E4">
        <w:t xml:space="preserve">h, and this gives us </w:t>
      </w:r>
      <w:r>
        <w:t>good insight into the behavio</w:t>
      </w:r>
      <w:r w:rsidRPr="006227E4">
        <w:t xml:space="preserve">r of the system. Before we consider the two-dimensional problem, we </w:t>
      </w:r>
      <w:r>
        <w:t>fi</w:t>
      </w:r>
      <w:r w:rsidRPr="006227E4">
        <w:t>rst take a look at the approximation of the one-dimensional Poisson equation.</w:t>
      </w:r>
    </w:p>
    <w:p w:rsidR="00A4732C" w:rsidRDefault="00A4732C" w:rsidP="00A4732C">
      <w:pPr>
        <w:pStyle w:val="BodyText"/>
        <w:ind w:firstLine="0"/>
      </w:pPr>
    </w:p>
    <w:p w:rsidR="00A4732C" w:rsidRPr="009D73F2" w:rsidRDefault="00A4732C" w:rsidP="00A4732C">
      <w:pPr>
        <w:pStyle w:val="BodyText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(0, 1)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ih :i 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1:N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A4732C" w:rsidRPr="009D73F2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[0, 1]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ih :i 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0:N+1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t>And the space</w:t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rPr>
          <w:noProof/>
          <w:lang w:eastAsia="en-US"/>
        </w:rPr>
        <w:drawing>
          <wp:inline distT="0" distB="0" distL="0" distR="0" wp14:anchorId="1BC18D99" wp14:editId="6B61F5B4">
            <wp:extent cx="2655570" cy="255905"/>
            <wp:effectExtent l="0" t="0" r="0" b="0"/>
            <wp:docPr id="13" name="Picture 13" descr="C:\Users\Waris\Desktop\l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aris\Desktop\lat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t xml:space="preserve">Of grid functions. </w:t>
      </w:r>
      <w:r w:rsidRPr="00BC7141">
        <w:t>centra</w:t>
      </w:r>
      <w:r>
        <w:t>l diff</w:t>
      </w:r>
      <w:r w:rsidRPr="00BC7141">
        <w:t>erence approximation of the second derivative is given by</w:t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rPr>
          <w:noProof/>
          <w:lang w:eastAsia="en-US"/>
        </w:rPr>
        <w:drawing>
          <wp:inline distT="0" distB="0" distL="0" distR="0" wp14:anchorId="281BF367" wp14:editId="53557761">
            <wp:extent cx="3108960" cy="270510"/>
            <wp:effectExtent l="0" t="0" r="0" b="0"/>
            <wp:docPr id="12" name="Picture 12" descr="C:\Users\Waris\Desktop\l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aris\Desktop\lat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Heading2"/>
      </w:pPr>
      <w:r w:rsidRPr="00AA7FC9">
        <w:t>Lem</w:t>
      </w:r>
      <w:r>
        <w:t>ma 3.2 (</w:t>
      </w:r>
      <w:r w:rsidRPr="00101FF5">
        <w:t>One-dimensional eigenvectors</w:t>
      </w:r>
      <w:r>
        <w:t>)</w:t>
      </w:r>
    </w:p>
    <w:p w:rsidR="00A4732C" w:rsidRDefault="00A4732C" w:rsidP="00A4732C">
      <w:pPr>
        <w:pStyle w:val="BodyText"/>
        <w:ind w:firstLine="0"/>
      </w:pPr>
      <w:r>
        <w:rPr>
          <w:b/>
        </w:rPr>
        <w:t xml:space="preserve"> </w:t>
      </w:r>
      <w:r>
        <w:t>We Define</w:t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rPr>
          <w:noProof/>
          <w:lang w:eastAsia="en-US"/>
        </w:rPr>
        <w:drawing>
          <wp:inline distT="0" distB="0" distL="0" distR="0" wp14:anchorId="10D1B096" wp14:editId="577036FE">
            <wp:extent cx="1419225" cy="351155"/>
            <wp:effectExtent l="0" t="0" r="9525" b="0"/>
            <wp:docPr id="11" name="Picture 11" descr="C:\Users\Waris\Desktop\l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aris\Desktop\lat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2C" w:rsidRDefault="00A4732C" w:rsidP="00A4732C">
      <w:pPr>
        <w:pStyle w:val="BodyText"/>
        <w:ind w:firstLine="0"/>
      </w:pPr>
      <w:r>
        <w:rPr>
          <w:noProof/>
          <w:lang w:eastAsia="en-US"/>
        </w:rPr>
        <w:drawing>
          <wp:inline distT="0" distB="0" distL="0" distR="0" wp14:anchorId="06FA9993" wp14:editId="56E25413">
            <wp:extent cx="3108960" cy="285115"/>
            <wp:effectExtent l="0" t="0" r="0" b="635"/>
            <wp:docPr id="10" name="Picture 10" descr="C:\Users\Waris\Desktop\l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aris\Desktop\lat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t>Then we have</w:t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rPr>
          <w:noProof/>
          <w:lang w:eastAsia="en-US"/>
        </w:rPr>
        <w:lastRenderedPageBreak/>
        <w:drawing>
          <wp:inline distT="0" distB="0" distL="0" distR="0" wp14:anchorId="43C0352B" wp14:editId="3FC48B69">
            <wp:extent cx="3108960" cy="614680"/>
            <wp:effectExtent l="0" t="0" r="0" b="0"/>
            <wp:docPr id="9" name="Picture 9" descr="C:\Users\Waris\Desktop\l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aris\Desktop\lat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 w:rsidRPr="00BC7141">
        <w:rPr>
          <w:b/>
        </w:rPr>
        <w:t>Proof</w:t>
      </w:r>
      <w:r>
        <w:t>. For the first result, we make use of the trigonometric identities.</w:t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rPr>
          <w:noProof/>
          <w:lang w:eastAsia="en-US"/>
        </w:rPr>
        <w:drawing>
          <wp:inline distT="0" distB="0" distL="0" distR="0" wp14:anchorId="72251E59" wp14:editId="150A290E">
            <wp:extent cx="3108960" cy="570865"/>
            <wp:effectExtent l="0" t="0" r="0" b="635"/>
            <wp:docPr id="8" name="Picture 8" descr="C:\Users\Waris\Desktop\l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aris\Desktop\lat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2C" w:rsidRDefault="00A4732C" w:rsidP="00A4732C">
      <w:pPr>
        <w:pStyle w:val="BodyText"/>
        <w:ind w:firstLine="0"/>
      </w:pPr>
      <w:r>
        <w:t xml:space="preserve">Then we have </w:t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rPr>
          <w:noProof/>
          <w:lang w:eastAsia="en-US"/>
        </w:rPr>
        <w:drawing>
          <wp:inline distT="0" distB="0" distL="0" distR="0" wp14:anchorId="41D5C724" wp14:editId="41458DBD">
            <wp:extent cx="3108960" cy="592455"/>
            <wp:effectExtent l="0" t="0" r="0" b="0"/>
            <wp:docPr id="7" name="Picture 7" descr="C:\Users\Waris\Desktop\l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aris\Desktop\lat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t>Proof. For the first result, we make use of trigonometric identities</w:t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rPr>
          <w:noProof/>
          <w:lang w:eastAsia="en-US"/>
        </w:rPr>
        <w:drawing>
          <wp:inline distT="0" distB="0" distL="0" distR="0" wp14:anchorId="245B6773" wp14:editId="619C6DCF">
            <wp:extent cx="3108960" cy="380365"/>
            <wp:effectExtent l="0" t="0" r="0" b="635"/>
            <wp:docPr id="6" name="Picture 6" descr="C:\Users\Waris\Desktop\l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aris\Desktop\lat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2C" w:rsidRDefault="00A4732C" w:rsidP="00A4732C">
      <w:pPr>
        <w:pStyle w:val="BodyText"/>
        <w:ind w:firstLine="0"/>
      </w:pPr>
      <w:r w:rsidRPr="001E7BA2">
        <w:t xml:space="preserve">Proof. For the </w:t>
      </w:r>
      <w:r>
        <w:t>fi</w:t>
      </w:r>
      <w:r w:rsidRPr="001E7BA2">
        <w:t>rst result, we make use of the trigonometric identities</w:t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rPr>
          <w:noProof/>
          <w:lang w:eastAsia="en-US"/>
        </w:rPr>
        <w:drawing>
          <wp:inline distT="0" distB="0" distL="0" distR="0" wp14:anchorId="492D7F88" wp14:editId="71825C5F">
            <wp:extent cx="3108960" cy="1704340"/>
            <wp:effectExtent l="0" t="0" r="0" b="0"/>
            <wp:docPr id="5" name="Picture 5" descr="C:\Users\Waris\Desktop\l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aris\Desktop\lat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t>For the second result, we apply</w:t>
      </w:r>
      <w:r w:rsidRPr="001E7BA2">
        <w:t xml:space="preserve"> the trigonometric identity</w:t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rPr>
          <w:noProof/>
          <w:lang w:eastAsia="en-US"/>
        </w:rPr>
        <w:drawing>
          <wp:inline distT="0" distB="0" distL="0" distR="0" wp14:anchorId="311E8BCB" wp14:editId="7BE5B825">
            <wp:extent cx="3108960" cy="358140"/>
            <wp:effectExtent l="0" t="0" r="0" b="3810"/>
            <wp:docPr id="4" name="Picture 4" descr="C:\Users\Waris\Desktop\l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aris\Desktop\lat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t>Let v, u belongs to</w:t>
      </w:r>
      <w:r w:rsidRPr="001E7BA2">
        <w:t xml:space="preserve"> [1 : N]. We have</w:t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  <w:r>
        <w:rPr>
          <w:noProof/>
          <w:lang w:eastAsia="en-US"/>
        </w:rPr>
        <w:drawing>
          <wp:inline distT="0" distB="0" distL="0" distR="0" wp14:anchorId="36D655A2" wp14:editId="579FFACC">
            <wp:extent cx="3108960" cy="782955"/>
            <wp:effectExtent l="0" t="0" r="0" b="0"/>
            <wp:docPr id="3" name="Picture 3" descr="C:\Users\Waris\Desktop\l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aris\Desktop\lat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2C" w:rsidRDefault="00A4732C" w:rsidP="00A4732C">
      <w:pPr>
        <w:pStyle w:val="BodyText"/>
        <w:ind w:firstLine="0"/>
      </w:pPr>
      <w:r>
        <w:rPr>
          <w:noProof/>
          <w:lang w:eastAsia="en-US"/>
        </w:rPr>
        <w:drawing>
          <wp:inline distT="0" distB="0" distL="0" distR="0" wp14:anchorId="2F6540DF" wp14:editId="5A767FE7">
            <wp:extent cx="1711960" cy="482600"/>
            <wp:effectExtent l="0" t="0" r="2540" b="0"/>
            <wp:docPr id="2" name="Picture 2" descr="C:\Users\Waris\Desktop\l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aris\Desktop\lat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2C" w:rsidRDefault="00A4732C" w:rsidP="00A4732C">
      <w:pPr>
        <w:pStyle w:val="BodyText"/>
        <w:ind w:firstLine="0"/>
      </w:pPr>
      <w:r>
        <w:t>W</w:t>
      </w:r>
      <w:r w:rsidRPr="00101FF5">
        <w:t xml:space="preserve">e have found a </w:t>
      </w:r>
      <w:r>
        <w:t>complete orthonormal basis of Go</w:t>
      </w:r>
      <w:r w:rsidRPr="00101FF5">
        <w:t>([0; 1]h) consisting of eigenvectors</w:t>
      </w:r>
      <w:r>
        <w:t xml:space="preserve"> in the one dimensional case</w:t>
      </w:r>
      <w:r w:rsidRPr="00101FF5">
        <w:t>. Since the two-dimensional case is closely related, our results carry over directly.</w:t>
      </w:r>
    </w:p>
    <w:p w:rsidR="00A4732C" w:rsidRDefault="00A4732C" w:rsidP="00A4732C">
      <w:pPr>
        <w:pStyle w:val="Heading2"/>
      </w:pPr>
      <w:r w:rsidRPr="00101FF5">
        <w:lastRenderedPageBreak/>
        <w:t>Lemma 3.3 (Eigenvalues)</w:t>
      </w:r>
    </w:p>
    <w:p w:rsidR="00A4732C" w:rsidRDefault="00A4732C" w:rsidP="00A4732C">
      <w:r>
        <w:t>W</w:t>
      </w:r>
      <w:r w:rsidRPr="00101FF5">
        <w:t xml:space="preserve">e </w:t>
      </w:r>
      <w:r>
        <w:t>define</w:t>
      </w:r>
    </w:p>
    <w:p w:rsidR="00A4732C" w:rsidRDefault="00A4732C" w:rsidP="00A4732C"/>
    <w:p w:rsidR="00A4732C" w:rsidRPr="00101FF5" w:rsidRDefault="00A4732C" w:rsidP="00A4732C">
      <w:r>
        <w:rPr>
          <w:noProof/>
        </w:rPr>
        <w:drawing>
          <wp:inline distT="0" distB="0" distL="0" distR="0" wp14:anchorId="0F15B968" wp14:editId="4F768141">
            <wp:extent cx="3108960" cy="409575"/>
            <wp:effectExtent l="0" t="0" r="0" b="9525"/>
            <wp:docPr id="1" name="Picture 1" descr="C:\Users\Waris\Desktop\l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aris\Desktop\late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2C" w:rsidRDefault="00A4732C" w:rsidP="00A4732C">
      <w:pPr>
        <w:pStyle w:val="BodyText"/>
        <w:ind w:firstLine="0"/>
      </w:pPr>
    </w:p>
    <w:p w:rsidR="00A4732C" w:rsidRDefault="00A4732C" w:rsidP="00A4732C">
      <w:pPr>
        <w:pStyle w:val="BodyText"/>
        <w:ind w:firstLine="0"/>
      </w:pPr>
    </w:p>
    <w:p w:rsidR="00A4732C" w:rsidRDefault="00A4732C" w:rsidP="00A4732C"/>
    <w:p w:rsidR="00A4732C" w:rsidRDefault="00A4732C">
      <w:bookmarkStart w:id="0" w:name="_GoBack"/>
      <w:bookmarkEnd w:id="0"/>
    </w:p>
    <w:sectPr w:rsidR="00A4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F5D"/>
    <w:rsid w:val="006946A8"/>
    <w:rsid w:val="00706049"/>
    <w:rsid w:val="00A4732C"/>
    <w:rsid w:val="00B8255C"/>
    <w:rsid w:val="00D4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4732C"/>
    <w:pPr>
      <w:keepNext/>
      <w:spacing w:before="160" w:after="160" w:line="240" w:lineRule="auto"/>
      <w:jc w:val="center"/>
      <w:outlineLvl w:val="1"/>
    </w:pPr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F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F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A4732C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styleId="BodyText">
    <w:name w:val="Body Text"/>
    <w:basedOn w:val="Normal"/>
    <w:link w:val="BodyTextChar"/>
    <w:rsid w:val="00A4732C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rsid w:val="00A4732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ectionHeading">
    <w:name w:val="Section Heading"/>
    <w:rsid w:val="00A4732C"/>
    <w:pPr>
      <w:spacing w:before="160" w:after="160" w:line="240" w:lineRule="auto"/>
      <w:jc w:val="center"/>
    </w:pPr>
    <w:rPr>
      <w:rFonts w:ascii="Times New Roman" w:eastAsia="Times New Roman" w:hAnsi="Times New Roman" w:cs="Times New Roman"/>
      <w:b/>
      <w:smallCap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4732C"/>
    <w:pPr>
      <w:keepNext/>
      <w:spacing w:before="160" w:after="160" w:line="240" w:lineRule="auto"/>
      <w:jc w:val="center"/>
      <w:outlineLvl w:val="1"/>
    </w:pPr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F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F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A4732C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styleId="BodyText">
    <w:name w:val="Body Text"/>
    <w:basedOn w:val="Normal"/>
    <w:link w:val="BodyTextChar"/>
    <w:rsid w:val="00A4732C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rsid w:val="00A4732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ectionHeading">
    <w:name w:val="Section Heading"/>
    <w:rsid w:val="00A4732C"/>
    <w:pPr>
      <w:spacing w:before="160" w:after="160" w:line="240" w:lineRule="auto"/>
      <w:jc w:val="center"/>
    </w:pPr>
    <w:rPr>
      <w:rFonts w:ascii="Times New Roman" w:eastAsia="Times New Roman" w:hAnsi="Times New Roman" w:cs="Times New Roman"/>
      <w:b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Waris</cp:lastModifiedBy>
  <cp:revision>4</cp:revision>
  <dcterms:created xsi:type="dcterms:W3CDTF">2018-05-12T07:21:00Z</dcterms:created>
  <dcterms:modified xsi:type="dcterms:W3CDTF">2018-05-12T13:10:00Z</dcterms:modified>
</cp:coreProperties>
</file>