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[1] J. H. Marsh, "'Cheapest plan' for Quebec Bridge: [Final Edition]," </w:t>
      </w: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Daily Townsman, </w:t>
      </w: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pp. 5, 2003. Available: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http://ezproxy.lib.ryerson.ca/login?url=https://www.proquest.com/newspapers/cheapest-plan-quebec-bridge/docview/356301891/se-2?accountid=13631</w:t>
        </w:r>
      </w:hyperlink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[1] E. Kranakis, "Fixing the Blame: Organizational Culture and the Quebec Bridge Collapse," </w:t>
      </w: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Technology and Culture, </w:t>
      </w: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vol. 45, </w:t>
      </w: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(3), </w:t>
      </w: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pp. 487-518, 2004. Available: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http://ezproxy.lib.ryerson.ca/login?url=https://www.proquest.com/scholarly-journals/fixing-blame-organizational-culture-quebec-bridge/docview/198517631/se-2?accountid=13631</w:t>
        </w:r>
      </w:hyperlink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[1] Anonymous "ON COLD IRON: A STORY OF HUBRIS AND THE 1907 QUEBEC BRIDGE COLLAPSE," </w:t>
      </w: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Kirkus Reviews, </w:t>
      </w:r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2020. Available: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http://ezproxy.lib.ryerson.ca/login?url=https://www.proquest.com/trade-journals/on-cold-iron/docview/2407526416/se-2?accountid=13631</w:t>
        </w:r>
      </w:hyperlink>
      <w:r w:rsidDel="00000000" w:rsidR="00000000" w:rsidRPr="00000000">
        <w:rPr>
          <w:rFonts w:ascii="Verdana" w:cs="Verdana" w:eastAsia="Verdana" w:hAnsi="Verdana"/>
          <w:color w:val="555555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zproxy.lib.ryerson.ca/login?url=https://www.proquest.com/newspapers/cheapest-plan-quebec-bridge/docview/356301891/se-2?accountid=13631" TargetMode="External"/><Relationship Id="rId7" Type="http://schemas.openxmlformats.org/officeDocument/2006/relationships/hyperlink" Target="http://ezproxy.lib.ryerson.ca/login?url=https://www.proquest.com/scholarly-journals/fixing-blame-organizational-culture-quebec-bridge/docview/198517631/se-2?accountid=13631" TargetMode="External"/><Relationship Id="rId8" Type="http://schemas.openxmlformats.org/officeDocument/2006/relationships/hyperlink" Target="http://ezproxy.lib.ryerson.ca/login?url=https://www.proquest.com/trade-journals/on-cold-iron/docview/2407526416/se-2?accountid=13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