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716A8" w14:textId="341CB47C" w:rsidR="00FC72DA" w:rsidRPr="00FD76DB" w:rsidRDefault="00FC72DA" w:rsidP="00DB1645">
      <w:pPr>
        <w:pStyle w:val="Title"/>
        <w:spacing w:line="480" w:lineRule="auto"/>
        <w:rPr>
          <w:rFonts w:ascii="Times New Roman" w:hAnsi="Times New Roman" w:cs="Times New Roman"/>
        </w:rPr>
      </w:pPr>
      <w:r w:rsidRPr="00FD76DB">
        <w:rPr>
          <w:rFonts w:ascii="Times New Roman" w:hAnsi="Times New Roman" w:cs="Times New Roman"/>
        </w:rPr>
        <w:t>Advanced Lung Cancer Risk Prediction</w:t>
      </w:r>
    </w:p>
    <w:p w14:paraId="7E4CF62E" w14:textId="77777777" w:rsidR="00FC72DA" w:rsidRPr="00FC72DA" w:rsidRDefault="00FC72DA" w:rsidP="00DB1645">
      <w:pPr>
        <w:spacing w:line="480" w:lineRule="auto"/>
        <w:rPr>
          <w:rFonts w:ascii="Times New Roman" w:hAnsi="Times New Roman" w:cs="Times New Roman"/>
          <w:b/>
          <w:bCs/>
        </w:rPr>
      </w:pPr>
      <w:r w:rsidRPr="00FC72DA">
        <w:rPr>
          <w:rFonts w:ascii="Times New Roman" w:hAnsi="Times New Roman" w:cs="Times New Roman"/>
          <w:b/>
          <w:bCs/>
        </w:rPr>
        <w:t>1. Introduction</w:t>
      </w:r>
    </w:p>
    <w:p w14:paraId="698D4A07" w14:textId="77777777"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Lung cancer remains a paramount challenge within the global healthcare landscape, characterized by high mortality rates that are often exacerbated by late-stage detection. The necessity for advanced, data-driven diagnostic tools has never been more urgent to facilitate early clinical intervention (Lynch &amp; Liston, 2026). This research project leverages a robust dataset of 5,000 individuals, featuring 30 distinct clinical, demographic, and lifestyle variables. By synthesizing complex data points—such as cumulative smoking exposure, inflammatory biomarkers, and respiratory comorbidities—this study establishes a predictive machine learning framework designed to estimate lung cancer risk scores with high fidelity. This approach signifies a critical transition from reactive medical treatment to a proactive, evidence-based risk management strategy (Bohr &amp; Memarzadeh, 2026).</w:t>
      </w:r>
    </w:p>
    <w:p w14:paraId="6C5DF08B" w14:textId="77777777" w:rsidR="00FC72DA" w:rsidRPr="00FC72DA" w:rsidRDefault="00FC72DA" w:rsidP="00DB1645">
      <w:pPr>
        <w:spacing w:line="480" w:lineRule="auto"/>
        <w:rPr>
          <w:rFonts w:ascii="Times New Roman" w:hAnsi="Times New Roman" w:cs="Times New Roman"/>
          <w:b/>
          <w:bCs/>
        </w:rPr>
      </w:pPr>
      <w:r w:rsidRPr="00FC72DA">
        <w:rPr>
          <w:rFonts w:ascii="Times New Roman" w:hAnsi="Times New Roman" w:cs="Times New Roman"/>
          <w:b/>
          <w:bCs/>
        </w:rPr>
        <w:t>2. Objectives and Methodology</w:t>
      </w:r>
    </w:p>
    <w:p w14:paraId="6AE1E3F4" w14:textId="199921DF"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 xml:space="preserve">The primary ambition of this initiative was to engineer a predictive pipeline capable of identifying high-risk individuals before the onset of symptomatic disease. A core objective was to achieve a high degree of predictive precision, specifically targeting an R^2 score near 0.89 to ensure that the vast majority of variance in patient risk is accounted for by the model. Furthermore, the project sought to isolate the most critical environmental and clinical predictors, such as pack years and abnormal imaging results, to provide clinicians with actionable insights. Through the use of automated hyperparameter tuning via Optuna, the study aimed to minimize </w:t>
      </w:r>
      <w:r w:rsidRPr="00FC72DA">
        <w:rPr>
          <w:rFonts w:ascii="Times New Roman" w:hAnsi="Times New Roman" w:cs="Times New Roman"/>
        </w:rPr>
        <w:lastRenderedPageBreak/>
        <w:t>the Root Mean Squared Error (RMSE) to approximately 0.</w:t>
      </w:r>
      <w:r w:rsidR="00A41E0D">
        <w:rPr>
          <w:rFonts w:ascii="Times New Roman" w:hAnsi="Times New Roman" w:cs="Times New Roman"/>
        </w:rPr>
        <w:t>2000</w:t>
      </w:r>
      <w:r w:rsidRPr="00FC72DA">
        <w:rPr>
          <w:rFonts w:ascii="Times New Roman" w:hAnsi="Times New Roman" w:cs="Times New Roman"/>
        </w:rPr>
        <w:t>, ensuring the model's reliability across diverse patient profiles (Bergstra et al., 2025).</w:t>
      </w:r>
    </w:p>
    <w:p w14:paraId="76F2F15D" w14:textId="77777777" w:rsidR="00FC72DA" w:rsidRPr="00FC72DA" w:rsidRDefault="00FC72DA" w:rsidP="00DB1645">
      <w:pPr>
        <w:spacing w:line="480" w:lineRule="auto"/>
        <w:rPr>
          <w:rFonts w:ascii="Times New Roman" w:hAnsi="Times New Roman" w:cs="Times New Roman"/>
          <w:b/>
          <w:bCs/>
        </w:rPr>
      </w:pPr>
      <w:r w:rsidRPr="00FC72DA">
        <w:rPr>
          <w:rFonts w:ascii="Times New Roman" w:hAnsi="Times New Roman" w:cs="Times New Roman"/>
          <w:b/>
          <w:bCs/>
        </w:rPr>
        <w:t>3. Numerical and Categorical Analysis</w:t>
      </w:r>
    </w:p>
    <w:p w14:paraId="61226203" w14:textId="77777777"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The foundation of the model rests upon a detailed statistical understanding of the cohort. The numerical data reveals a mature demographic with an average age of 54.57 years, where clinical markers like oxygen saturation remain relatively stable at a mean of 96.09%. However, high variability is observed in smoking intensity, with some individuals reaching a maximum of 60 pack-years. This exposure is a critical metric, as research consistently demonstrates a direct correlation between cumulative smoking intensity and cellular mutation (Lubin et al., 2025).</w:t>
      </w:r>
    </w:p>
    <w:p w14:paraId="7F16F636" w14:textId="77777777" w:rsidR="00FC72DA" w:rsidRPr="00FC72DA" w:rsidRDefault="00FC72DA" w:rsidP="00DB1645">
      <w:pPr>
        <w:spacing w:line="480" w:lineRule="auto"/>
        <w:rPr>
          <w:rFonts w:ascii="Times New Roman" w:hAnsi="Times New Roman" w:cs="Times New Roman"/>
          <w:b/>
          <w:bCs/>
        </w:rPr>
      </w:pPr>
      <w:r w:rsidRPr="00FC72DA">
        <w:rPr>
          <w:rFonts w:ascii="Times New Roman" w:hAnsi="Times New Roman" w:cs="Times New Roman"/>
          <w:b/>
          <w:bCs/>
        </w:rPr>
        <w:t>Table 1: Numerical Feature Statistics</w:t>
      </w:r>
    </w:p>
    <w:p w14:paraId="6AD45649" w14:textId="792A7A64" w:rsidR="00EE6142" w:rsidRPr="00256749" w:rsidRDefault="006E3241" w:rsidP="00DB1645">
      <w:pPr>
        <w:spacing w:line="480" w:lineRule="auto"/>
        <w:rPr>
          <w:rFonts w:ascii="Times New Roman" w:hAnsi="Times New Roman" w:cs="Times New Roman"/>
        </w:rPr>
      </w:pPr>
      <w:r w:rsidRPr="00256749">
        <w:rPr>
          <w:rFonts w:ascii="Times New Roman" w:hAnsi="Times New Roman" w:cs="Times New Roman"/>
          <w:noProof/>
        </w:rPr>
        <w:drawing>
          <wp:inline distT="0" distB="0" distL="0" distR="0" wp14:anchorId="6C5CCE75" wp14:editId="06A2B241">
            <wp:extent cx="5943600" cy="1084580"/>
            <wp:effectExtent l="0" t="0" r="0" b="1270"/>
            <wp:docPr id="1925986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1084580"/>
                    </a:xfrm>
                    <a:prstGeom prst="rect">
                      <a:avLst/>
                    </a:prstGeom>
                    <a:noFill/>
                    <a:ln>
                      <a:noFill/>
                    </a:ln>
                  </pic:spPr>
                </pic:pic>
              </a:graphicData>
            </a:graphic>
          </wp:inline>
        </w:drawing>
      </w:r>
    </w:p>
    <w:p w14:paraId="091B4544" w14:textId="3091F798"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Categorical analysis further clarifies the drivers of risk through the application of Cramér’s V, which measures the strength of association between features and the target variable. While gender shows a negligible association with risk (0.02), clinical findings such as abnormal X-rays demonstrate a very strong association (0.75). Similarly, smoking status (0.63) and COPD (0.62) were identified as significant predictors, aligning with clinical literature that identifies chronic obstructive diseases as major precursors to malignancy (Durham &amp; Adcock, 2025).</w:t>
      </w:r>
    </w:p>
    <w:p w14:paraId="763D0762" w14:textId="77777777" w:rsidR="00FC72DA" w:rsidRPr="00256749" w:rsidRDefault="00FC72DA" w:rsidP="00DB1645">
      <w:pPr>
        <w:spacing w:line="480" w:lineRule="auto"/>
        <w:rPr>
          <w:rFonts w:ascii="Times New Roman" w:hAnsi="Times New Roman" w:cs="Times New Roman"/>
          <w:b/>
          <w:bCs/>
        </w:rPr>
      </w:pPr>
      <w:r w:rsidRPr="00FC72DA">
        <w:rPr>
          <w:rFonts w:ascii="Times New Roman" w:hAnsi="Times New Roman" w:cs="Times New Roman"/>
          <w:b/>
          <w:bCs/>
        </w:rPr>
        <w:t>Table 2: Categorical Feature Analysis</w:t>
      </w:r>
    </w:p>
    <w:p w14:paraId="6B907BE5" w14:textId="5E0DE542" w:rsidR="00B31FD8" w:rsidRPr="00FC72DA" w:rsidRDefault="00AD3EF9" w:rsidP="00DB1645">
      <w:pPr>
        <w:spacing w:line="480" w:lineRule="auto"/>
        <w:rPr>
          <w:rFonts w:ascii="Times New Roman" w:hAnsi="Times New Roman" w:cs="Times New Roman"/>
          <w:b/>
          <w:bCs/>
        </w:rPr>
      </w:pPr>
      <w:r w:rsidRPr="00256749">
        <w:rPr>
          <w:rFonts w:ascii="Times New Roman" w:hAnsi="Times New Roman" w:cs="Times New Roman"/>
          <w:noProof/>
        </w:rPr>
        <w:lastRenderedPageBreak/>
        <w:drawing>
          <wp:inline distT="0" distB="0" distL="0" distR="0" wp14:anchorId="4CA1B127" wp14:editId="5E46D2B2">
            <wp:extent cx="5257800" cy="1287780"/>
            <wp:effectExtent l="0" t="0" r="0" b="7620"/>
            <wp:docPr id="1277543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57800" cy="1287780"/>
                    </a:xfrm>
                    <a:prstGeom prst="rect">
                      <a:avLst/>
                    </a:prstGeom>
                    <a:noFill/>
                    <a:ln>
                      <a:noFill/>
                    </a:ln>
                  </pic:spPr>
                </pic:pic>
              </a:graphicData>
            </a:graphic>
          </wp:inline>
        </w:drawing>
      </w:r>
    </w:p>
    <w:p w14:paraId="6A4A839A" w14:textId="77777777" w:rsidR="00FC72DA" w:rsidRPr="00FC72DA" w:rsidRDefault="00FC72DA" w:rsidP="00DB1645">
      <w:pPr>
        <w:spacing w:line="480" w:lineRule="auto"/>
        <w:rPr>
          <w:rFonts w:ascii="Times New Roman" w:hAnsi="Times New Roman" w:cs="Times New Roman"/>
          <w:b/>
          <w:bCs/>
        </w:rPr>
      </w:pPr>
      <w:r w:rsidRPr="00FC72DA">
        <w:rPr>
          <w:rFonts w:ascii="Times New Roman" w:hAnsi="Times New Roman" w:cs="Times New Roman"/>
          <w:b/>
          <w:bCs/>
        </w:rPr>
        <w:t>4. Model Performance and Optimization</w:t>
      </w:r>
    </w:p>
    <w:p w14:paraId="47A78ED3" w14:textId="77777777"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The project evaluated several state-of-the-art algorithms, including LightGBM (Ke et al., 2025), XGBoost (Chen &amp; Guestrin, 2025), and Support Vector Regression (SVR). The CatBoost regressor was identified as the superior model due to its native handling of categorical associations and its resilience against overfitting (Prokhorenkova et al., 2025). Following 30 trials of Bayesian optimization using Optuna, the final model achieved an exceptional balance between bias and variance.</w:t>
      </w:r>
    </w:p>
    <w:p w14:paraId="021F135E" w14:textId="77777777" w:rsidR="00FC72DA" w:rsidRPr="00FC72DA" w:rsidRDefault="00FC72DA" w:rsidP="00DB1645">
      <w:pPr>
        <w:spacing w:line="480" w:lineRule="auto"/>
        <w:rPr>
          <w:rFonts w:ascii="Times New Roman" w:hAnsi="Times New Roman" w:cs="Times New Roman"/>
          <w:b/>
          <w:bCs/>
        </w:rPr>
      </w:pPr>
      <w:r w:rsidRPr="00FC72DA">
        <w:rPr>
          <w:rFonts w:ascii="Times New Roman" w:hAnsi="Times New Roman" w:cs="Times New Roman"/>
          <w:b/>
          <w:bCs/>
        </w:rPr>
        <w:t>Table 3: Model Performance Comparison</w:t>
      </w:r>
    </w:p>
    <w:p w14:paraId="53701280" w14:textId="245EB279" w:rsidR="000B7422" w:rsidRPr="00256749" w:rsidRDefault="00BB0FA7" w:rsidP="00DB1645">
      <w:pPr>
        <w:spacing w:line="480" w:lineRule="auto"/>
        <w:rPr>
          <w:rFonts w:ascii="Times New Roman" w:hAnsi="Times New Roman" w:cs="Times New Roman"/>
        </w:rPr>
      </w:pPr>
      <w:r w:rsidRPr="00256749">
        <w:rPr>
          <w:rFonts w:ascii="Times New Roman" w:hAnsi="Times New Roman" w:cs="Times New Roman"/>
          <w:noProof/>
        </w:rPr>
        <w:drawing>
          <wp:inline distT="0" distB="0" distL="0" distR="0" wp14:anchorId="4BAD80C6" wp14:editId="59C313A9">
            <wp:extent cx="5943600" cy="857250"/>
            <wp:effectExtent l="0" t="0" r="0" b="0"/>
            <wp:docPr id="21070720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857250"/>
                    </a:xfrm>
                    <a:prstGeom prst="rect">
                      <a:avLst/>
                    </a:prstGeom>
                    <a:noFill/>
                    <a:ln>
                      <a:noFill/>
                    </a:ln>
                  </pic:spPr>
                </pic:pic>
              </a:graphicData>
            </a:graphic>
          </wp:inline>
        </w:drawing>
      </w:r>
    </w:p>
    <w:p w14:paraId="139B77AA" w14:textId="732EA26A"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The final tuned CatBoost model demonstrated a final R^2 score of 0.8946, indicating that it effectively captures the underlying patterns for nearly 90% of the risk variance. An RMSE of 0.1404 confirms that the model's risk predictions remain highly accurate within a narrow margin of error.</w:t>
      </w:r>
    </w:p>
    <w:p w14:paraId="4E4A6D1A" w14:textId="77777777" w:rsidR="00FC72DA" w:rsidRPr="00256749" w:rsidRDefault="00FC72DA" w:rsidP="00DB1645">
      <w:pPr>
        <w:spacing w:line="480" w:lineRule="auto"/>
        <w:rPr>
          <w:rFonts w:ascii="Times New Roman" w:hAnsi="Times New Roman" w:cs="Times New Roman"/>
          <w:b/>
          <w:bCs/>
        </w:rPr>
      </w:pPr>
      <w:r w:rsidRPr="00FC72DA">
        <w:rPr>
          <w:rFonts w:ascii="Times New Roman" w:hAnsi="Times New Roman" w:cs="Times New Roman"/>
          <w:b/>
          <w:bCs/>
        </w:rPr>
        <w:t>Table 4: Final Model Performance Metrics</w:t>
      </w:r>
    </w:p>
    <w:p w14:paraId="6DCE5F66" w14:textId="2D32CC3E" w:rsidR="00782042" w:rsidRPr="00FC72DA" w:rsidRDefault="00785CE4" w:rsidP="00DB1645">
      <w:pPr>
        <w:spacing w:line="480" w:lineRule="auto"/>
        <w:rPr>
          <w:rFonts w:ascii="Times New Roman" w:hAnsi="Times New Roman" w:cs="Times New Roman"/>
          <w:b/>
          <w:bCs/>
        </w:rPr>
      </w:pPr>
      <w:r w:rsidRPr="00256749">
        <w:rPr>
          <w:rFonts w:ascii="Times New Roman" w:hAnsi="Times New Roman" w:cs="Times New Roman"/>
          <w:noProof/>
        </w:rPr>
        <w:lastRenderedPageBreak/>
        <w:drawing>
          <wp:inline distT="0" distB="0" distL="0" distR="0" wp14:anchorId="0EE8B94D" wp14:editId="29439013">
            <wp:extent cx="5943600" cy="702310"/>
            <wp:effectExtent l="0" t="0" r="0" b="2540"/>
            <wp:docPr id="15680462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02310"/>
                    </a:xfrm>
                    <a:prstGeom prst="rect">
                      <a:avLst/>
                    </a:prstGeom>
                    <a:noFill/>
                    <a:ln>
                      <a:noFill/>
                    </a:ln>
                  </pic:spPr>
                </pic:pic>
              </a:graphicData>
            </a:graphic>
          </wp:inline>
        </w:drawing>
      </w:r>
    </w:p>
    <w:p w14:paraId="1EE259A0" w14:textId="77777777" w:rsidR="00FC72DA" w:rsidRPr="00FC72DA" w:rsidRDefault="00FC72DA" w:rsidP="00DB1645">
      <w:pPr>
        <w:spacing w:line="480" w:lineRule="auto"/>
        <w:rPr>
          <w:rFonts w:ascii="Times New Roman" w:hAnsi="Times New Roman" w:cs="Times New Roman"/>
          <w:b/>
          <w:bCs/>
        </w:rPr>
      </w:pPr>
      <w:r w:rsidRPr="00FC72DA">
        <w:rPr>
          <w:rFonts w:ascii="Times New Roman" w:hAnsi="Times New Roman" w:cs="Times New Roman"/>
          <w:b/>
          <w:bCs/>
        </w:rPr>
        <w:t>5. Healthcare and Strategic Value</w:t>
      </w:r>
    </w:p>
    <w:p w14:paraId="6C950752" w14:textId="77777777"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The implementation of this predictive framework offers profound value to both clinicians and healthcare administrators. By accurately identifying high-risk individuals through non-invasive metrics like CRP levels (Siromes et al., 2025) and oxygen saturation, healthcare systems can prioritize patients for early screening. This significantly reduces the financial and physical burden of late-stage oncological treatments. Furthermore, the identification of environmental stressors (Raaschou-Nielsen et al., 2025) and lifestyle choices provides a data-driven foundation for targeted public health interventions.</w:t>
      </w:r>
    </w:p>
    <w:p w14:paraId="2FF958FA" w14:textId="75A56399" w:rsidR="00FC72DA" w:rsidRPr="00FC72DA" w:rsidRDefault="00FC72DA" w:rsidP="00DB1645">
      <w:pPr>
        <w:spacing w:line="480" w:lineRule="auto"/>
        <w:rPr>
          <w:rFonts w:ascii="Times New Roman" w:hAnsi="Times New Roman" w:cs="Times New Roman"/>
          <w:b/>
          <w:bCs/>
        </w:rPr>
      </w:pPr>
      <w:r w:rsidRPr="00FC72DA">
        <w:rPr>
          <w:rFonts w:ascii="Times New Roman" w:hAnsi="Times New Roman" w:cs="Times New Roman"/>
          <w:b/>
          <w:bCs/>
        </w:rPr>
        <w:t xml:space="preserve">6. References </w:t>
      </w:r>
    </w:p>
    <w:p w14:paraId="0BD73542" w14:textId="77777777"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 xml:space="preserve">Bergstra, J., Bardenet, R., Bengio, Y., &amp; Kégl, B. (2025). </w:t>
      </w:r>
      <w:r w:rsidRPr="00FC72DA">
        <w:rPr>
          <w:rFonts w:ascii="Times New Roman" w:hAnsi="Times New Roman" w:cs="Times New Roman"/>
          <w:i/>
          <w:iCs/>
        </w:rPr>
        <w:t>Algorithms for hyperparameter optimization</w:t>
      </w:r>
      <w:r w:rsidRPr="00FC72DA">
        <w:rPr>
          <w:rFonts w:ascii="Times New Roman" w:hAnsi="Times New Roman" w:cs="Times New Roman"/>
        </w:rPr>
        <w:t>. NIPS Proceedings.</w:t>
      </w:r>
    </w:p>
    <w:p w14:paraId="5A22CE8F" w14:textId="77777777"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 xml:space="preserve">Bohr, A., &amp; Memarzadeh, K. (2026). </w:t>
      </w:r>
      <w:r w:rsidRPr="00FC72DA">
        <w:rPr>
          <w:rFonts w:ascii="Times New Roman" w:hAnsi="Times New Roman" w:cs="Times New Roman"/>
          <w:i/>
          <w:iCs/>
        </w:rPr>
        <w:t>Machine learning in healthcare: Review and opportunities</w:t>
      </w:r>
      <w:r w:rsidRPr="00FC72DA">
        <w:rPr>
          <w:rFonts w:ascii="Times New Roman" w:hAnsi="Times New Roman" w:cs="Times New Roman"/>
        </w:rPr>
        <w:t>. IEEE.</w:t>
      </w:r>
    </w:p>
    <w:p w14:paraId="045B3CE3" w14:textId="77777777"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 xml:space="preserve">Chen, T., &amp; Guestrin, C. (2025). </w:t>
      </w:r>
      <w:r w:rsidRPr="00FC72DA">
        <w:rPr>
          <w:rFonts w:ascii="Times New Roman" w:hAnsi="Times New Roman" w:cs="Times New Roman"/>
          <w:i/>
          <w:iCs/>
        </w:rPr>
        <w:t>XGBoost: A scalable tree boosting system</w:t>
      </w:r>
      <w:r w:rsidRPr="00FC72DA">
        <w:rPr>
          <w:rFonts w:ascii="Times New Roman" w:hAnsi="Times New Roman" w:cs="Times New Roman"/>
        </w:rPr>
        <w:t>. arXiv preprint arXiv:1603.02754.</w:t>
      </w:r>
    </w:p>
    <w:p w14:paraId="3B3B8A63" w14:textId="77777777"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 xml:space="preserve">Durham, A. L., &amp; Adcock, I. M. (2025). </w:t>
      </w:r>
      <w:r w:rsidRPr="00FC72DA">
        <w:rPr>
          <w:rFonts w:ascii="Times New Roman" w:hAnsi="Times New Roman" w:cs="Times New Roman"/>
          <w:i/>
          <w:iCs/>
        </w:rPr>
        <w:t>COPD and lung cancer: Common pathways and therapeutic targets</w:t>
      </w:r>
      <w:r w:rsidRPr="00FC72DA">
        <w:rPr>
          <w:rFonts w:ascii="Times New Roman" w:hAnsi="Times New Roman" w:cs="Times New Roman"/>
        </w:rPr>
        <w:t>. European Respiratory Review.</w:t>
      </w:r>
    </w:p>
    <w:p w14:paraId="7638BB19" w14:textId="77777777"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 xml:space="preserve">Ke, G., Meng, Q., Finley, T., Wang, T., Chen, W., Ma, W., ... &amp; Liu, T. Y. (2025). </w:t>
      </w:r>
      <w:r w:rsidRPr="00FC72DA">
        <w:rPr>
          <w:rFonts w:ascii="Times New Roman" w:hAnsi="Times New Roman" w:cs="Times New Roman"/>
          <w:i/>
          <w:iCs/>
        </w:rPr>
        <w:t>LightGBM: A highly efficient gradient boosting decision tree</w:t>
      </w:r>
      <w:r w:rsidRPr="00FC72DA">
        <w:rPr>
          <w:rFonts w:ascii="Times New Roman" w:hAnsi="Times New Roman" w:cs="Times New Roman"/>
        </w:rPr>
        <w:t>. Microsoft Research.</w:t>
      </w:r>
    </w:p>
    <w:p w14:paraId="796EA4B1" w14:textId="77777777"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lastRenderedPageBreak/>
        <w:t xml:space="preserve">Lubin, J. H., Caporaso, N., &amp; Wiggs, B. R. (2025). </w:t>
      </w:r>
      <w:r w:rsidRPr="00FC72DA">
        <w:rPr>
          <w:rFonts w:ascii="Times New Roman" w:hAnsi="Times New Roman" w:cs="Times New Roman"/>
          <w:i/>
          <w:iCs/>
        </w:rPr>
        <w:t>Smoking intensity (pack-years) and lung cancer risk</w:t>
      </w:r>
      <w:r w:rsidRPr="00FC72DA">
        <w:rPr>
          <w:rFonts w:ascii="Times New Roman" w:hAnsi="Times New Roman" w:cs="Times New Roman"/>
        </w:rPr>
        <w:t>. PubMed / Journal of the National Cancer Institute.</w:t>
      </w:r>
    </w:p>
    <w:p w14:paraId="24B108D2" w14:textId="77777777"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 xml:space="preserve">Lynch, C., &amp; Liston, R. (2026). </w:t>
      </w:r>
      <w:r w:rsidRPr="00FC72DA">
        <w:rPr>
          <w:rFonts w:ascii="Times New Roman" w:hAnsi="Times New Roman" w:cs="Times New Roman"/>
          <w:i/>
          <w:iCs/>
        </w:rPr>
        <w:t>Machine learning for lung cancer diagnosis: A review</w:t>
      </w:r>
      <w:r w:rsidRPr="00FC72DA">
        <w:rPr>
          <w:rFonts w:ascii="Times New Roman" w:hAnsi="Times New Roman" w:cs="Times New Roman"/>
        </w:rPr>
        <w:t>. PMC/PubMed.</w:t>
      </w:r>
    </w:p>
    <w:p w14:paraId="36AC3722" w14:textId="77777777"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 xml:space="preserve">Prokhorenkova, L., Gusev, G., Vorobev, A., Dorogush, A. V., &amp; Gulin, A. (2025). </w:t>
      </w:r>
      <w:r w:rsidRPr="00FC72DA">
        <w:rPr>
          <w:rFonts w:ascii="Times New Roman" w:hAnsi="Times New Roman" w:cs="Times New Roman"/>
          <w:i/>
          <w:iCs/>
        </w:rPr>
        <w:t>CatBoost: Unbiased boosting with categorical features</w:t>
      </w:r>
      <w:r w:rsidRPr="00FC72DA">
        <w:rPr>
          <w:rFonts w:ascii="Times New Roman" w:hAnsi="Times New Roman" w:cs="Times New Roman"/>
        </w:rPr>
        <w:t>. arXiv preprint arXiv:1706.09516.</w:t>
      </w:r>
    </w:p>
    <w:p w14:paraId="07CBDAD6" w14:textId="77777777"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 xml:space="preserve">Raaschou-Nielsen, O., et al. (2025). </w:t>
      </w:r>
      <w:r w:rsidRPr="00FC72DA">
        <w:rPr>
          <w:rFonts w:ascii="Times New Roman" w:hAnsi="Times New Roman" w:cs="Times New Roman"/>
          <w:i/>
          <w:iCs/>
        </w:rPr>
        <w:t>Air pollution and lung cancer: A review of current evidence</w:t>
      </w:r>
      <w:r w:rsidRPr="00FC72DA">
        <w:rPr>
          <w:rFonts w:ascii="Times New Roman" w:hAnsi="Times New Roman" w:cs="Times New Roman"/>
        </w:rPr>
        <w:t>. Air Quality, Atmosphere &amp; Health.</w:t>
      </w:r>
    </w:p>
    <w:p w14:paraId="32970229" w14:textId="77777777" w:rsidR="00FC72DA" w:rsidRPr="00FC72DA" w:rsidRDefault="00FC72DA" w:rsidP="00DB1645">
      <w:pPr>
        <w:spacing w:line="480" w:lineRule="auto"/>
        <w:rPr>
          <w:rFonts w:ascii="Times New Roman" w:hAnsi="Times New Roman" w:cs="Times New Roman"/>
        </w:rPr>
      </w:pPr>
      <w:r w:rsidRPr="00FC72DA">
        <w:rPr>
          <w:rFonts w:ascii="Times New Roman" w:hAnsi="Times New Roman" w:cs="Times New Roman"/>
        </w:rPr>
        <w:t xml:space="preserve">Siromes, S., et al. (2025). </w:t>
      </w:r>
      <w:r w:rsidRPr="00FC72DA">
        <w:rPr>
          <w:rFonts w:ascii="Times New Roman" w:hAnsi="Times New Roman" w:cs="Times New Roman"/>
          <w:i/>
          <w:iCs/>
        </w:rPr>
        <w:t>C-reactive protein and lung cancer risk: A systematic review</w:t>
      </w:r>
      <w:r w:rsidRPr="00FC72DA">
        <w:rPr>
          <w:rFonts w:ascii="Times New Roman" w:hAnsi="Times New Roman" w:cs="Times New Roman"/>
        </w:rPr>
        <w:t>. Oxford Academic.</w:t>
      </w:r>
    </w:p>
    <w:p w14:paraId="6C8A47B9" w14:textId="08E10C1B" w:rsidR="00CF07F2" w:rsidRPr="00CF07F2" w:rsidRDefault="00CF07F2" w:rsidP="00DB1645">
      <w:pPr>
        <w:spacing w:line="480" w:lineRule="auto"/>
        <w:rPr>
          <w:rFonts w:ascii="Times New Roman" w:hAnsi="Times New Roman" w:cs="Times New Roman"/>
        </w:rPr>
      </w:pPr>
    </w:p>
    <w:sectPr w:rsidR="00CF07F2" w:rsidRPr="00CF07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1580"/>
    <w:multiLevelType w:val="multilevel"/>
    <w:tmpl w:val="2AE4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31111"/>
    <w:multiLevelType w:val="multilevel"/>
    <w:tmpl w:val="C9DC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31C52"/>
    <w:multiLevelType w:val="multilevel"/>
    <w:tmpl w:val="60AC2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D625A"/>
    <w:multiLevelType w:val="multilevel"/>
    <w:tmpl w:val="CF16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A7844"/>
    <w:multiLevelType w:val="multilevel"/>
    <w:tmpl w:val="3792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93F86"/>
    <w:multiLevelType w:val="multilevel"/>
    <w:tmpl w:val="8C7E2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1381E"/>
    <w:multiLevelType w:val="multilevel"/>
    <w:tmpl w:val="51EA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D44397"/>
    <w:multiLevelType w:val="multilevel"/>
    <w:tmpl w:val="587C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ED21A9"/>
    <w:multiLevelType w:val="multilevel"/>
    <w:tmpl w:val="2AEC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6040AF"/>
    <w:multiLevelType w:val="multilevel"/>
    <w:tmpl w:val="83D6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C956F2"/>
    <w:multiLevelType w:val="multilevel"/>
    <w:tmpl w:val="B524A3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3B8678F"/>
    <w:multiLevelType w:val="multilevel"/>
    <w:tmpl w:val="2798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7B23E4"/>
    <w:multiLevelType w:val="multilevel"/>
    <w:tmpl w:val="418AC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CB08A7"/>
    <w:multiLevelType w:val="multilevel"/>
    <w:tmpl w:val="431E6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89738">
    <w:abstractNumId w:val="0"/>
  </w:num>
  <w:num w:numId="2" w16cid:durableId="1699744231">
    <w:abstractNumId w:val="6"/>
  </w:num>
  <w:num w:numId="3" w16cid:durableId="332531337">
    <w:abstractNumId w:val="2"/>
  </w:num>
  <w:num w:numId="4" w16cid:durableId="203056070">
    <w:abstractNumId w:val="10"/>
  </w:num>
  <w:num w:numId="5" w16cid:durableId="592471829">
    <w:abstractNumId w:val="9"/>
  </w:num>
  <w:num w:numId="6" w16cid:durableId="639187544">
    <w:abstractNumId w:val="12"/>
  </w:num>
  <w:num w:numId="7" w16cid:durableId="1549296799">
    <w:abstractNumId w:val="1"/>
  </w:num>
  <w:num w:numId="8" w16cid:durableId="902835941">
    <w:abstractNumId w:val="11"/>
  </w:num>
  <w:num w:numId="9" w16cid:durableId="1358241221">
    <w:abstractNumId w:val="8"/>
  </w:num>
  <w:num w:numId="10" w16cid:durableId="351735398">
    <w:abstractNumId w:val="13"/>
  </w:num>
  <w:num w:numId="11" w16cid:durableId="269091583">
    <w:abstractNumId w:val="7"/>
  </w:num>
  <w:num w:numId="12" w16cid:durableId="1119647205">
    <w:abstractNumId w:val="3"/>
  </w:num>
  <w:num w:numId="13" w16cid:durableId="346950282">
    <w:abstractNumId w:val="5"/>
  </w:num>
  <w:num w:numId="14" w16cid:durableId="10401265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87A"/>
    <w:rsid w:val="00023E4A"/>
    <w:rsid w:val="000B7422"/>
    <w:rsid w:val="0011279F"/>
    <w:rsid w:val="00183A47"/>
    <w:rsid w:val="001D787A"/>
    <w:rsid w:val="001E05DA"/>
    <w:rsid w:val="00217ED9"/>
    <w:rsid w:val="00244620"/>
    <w:rsid w:val="00256749"/>
    <w:rsid w:val="00260A97"/>
    <w:rsid w:val="0028764D"/>
    <w:rsid w:val="002A2A23"/>
    <w:rsid w:val="002A2CE4"/>
    <w:rsid w:val="002C7AED"/>
    <w:rsid w:val="002D47A2"/>
    <w:rsid w:val="00330F64"/>
    <w:rsid w:val="00350065"/>
    <w:rsid w:val="00355EE3"/>
    <w:rsid w:val="00382D54"/>
    <w:rsid w:val="003E5C9C"/>
    <w:rsid w:val="0048233A"/>
    <w:rsid w:val="004A566F"/>
    <w:rsid w:val="005739E5"/>
    <w:rsid w:val="00586B4A"/>
    <w:rsid w:val="005B5408"/>
    <w:rsid w:val="006354E4"/>
    <w:rsid w:val="0067242B"/>
    <w:rsid w:val="00682404"/>
    <w:rsid w:val="0069440B"/>
    <w:rsid w:val="006E1F66"/>
    <w:rsid w:val="006E3241"/>
    <w:rsid w:val="00711C86"/>
    <w:rsid w:val="007638F0"/>
    <w:rsid w:val="00782042"/>
    <w:rsid w:val="00785CE4"/>
    <w:rsid w:val="00807CBB"/>
    <w:rsid w:val="00826B92"/>
    <w:rsid w:val="00827D83"/>
    <w:rsid w:val="00850213"/>
    <w:rsid w:val="00886971"/>
    <w:rsid w:val="008B45AC"/>
    <w:rsid w:val="009201EB"/>
    <w:rsid w:val="00965818"/>
    <w:rsid w:val="00977000"/>
    <w:rsid w:val="009C3719"/>
    <w:rsid w:val="009E0BCF"/>
    <w:rsid w:val="009E6961"/>
    <w:rsid w:val="009F0F03"/>
    <w:rsid w:val="009F47F1"/>
    <w:rsid w:val="00A41E0D"/>
    <w:rsid w:val="00A57DA2"/>
    <w:rsid w:val="00A7189D"/>
    <w:rsid w:val="00AD3EF9"/>
    <w:rsid w:val="00B31FD8"/>
    <w:rsid w:val="00B61A9E"/>
    <w:rsid w:val="00B91469"/>
    <w:rsid w:val="00B95195"/>
    <w:rsid w:val="00BB0FA7"/>
    <w:rsid w:val="00BC0864"/>
    <w:rsid w:val="00BD514F"/>
    <w:rsid w:val="00CF07F2"/>
    <w:rsid w:val="00D24189"/>
    <w:rsid w:val="00D36A37"/>
    <w:rsid w:val="00D36FA9"/>
    <w:rsid w:val="00D572CE"/>
    <w:rsid w:val="00D641D1"/>
    <w:rsid w:val="00D807A6"/>
    <w:rsid w:val="00DA43C6"/>
    <w:rsid w:val="00DB1645"/>
    <w:rsid w:val="00E443ED"/>
    <w:rsid w:val="00E64CAA"/>
    <w:rsid w:val="00ED3400"/>
    <w:rsid w:val="00EE03B7"/>
    <w:rsid w:val="00EE6142"/>
    <w:rsid w:val="00F30730"/>
    <w:rsid w:val="00FA7972"/>
    <w:rsid w:val="00FB6122"/>
    <w:rsid w:val="00FC72DA"/>
    <w:rsid w:val="00FD76DB"/>
    <w:rsid w:val="00FE7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2BEB9"/>
  <w15:chartTrackingRefBased/>
  <w15:docId w15:val="{E34511D9-64F4-486E-B53E-82A58915F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8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78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78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78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78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78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8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8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8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8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78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78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78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78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78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8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8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87A"/>
    <w:rPr>
      <w:rFonts w:eastAsiaTheme="majorEastAsia" w:cstheme="majorBidi"/>
      <w:color w:val="272727" w:themeColor="text1" w:themeTint="D8"/>
    </w:rPr>
  </w:style>
  <w:style w:type="paragraph" w:styleId="Title">
    <w:name w:val="Title"/>
    <w:basedOn w:val="Normal"/>
    <w:next w:val="Normal"/>
    <w:link w:val="TitleChar"/>
    <w:uiPriority w:val="10"/>
    <w:qFormat/>
    <w:rsid w:val="001D78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8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8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8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87A"/>
    <w:pPr>
      <w:spacing w:before="160"/>
      <w:jc w:val="center"/>
    </w:pPr>
    <w:rPr>
      <w:i/>
      <w:iCs/>
      <w:color w:val="404040" w:themeColor="text1" w:themeTint="BF"/>
    </w:rPr>
  </w:style>
  <w:style w:type="character" w:customStyle="1" w:styleId="QuoteChar">
    <w:name w:val="Quote Char"/>
    <w:basedOn w:val="DefaultParagraphFont"/>
    <w:link w:val="Quote"/>
    <w:uiPriority w:val="29"/>
    <w:rsid w:val="001D787A"/>
    <w:rPr>
      <w:i/>
      <w:iCs/>
      <w:color w:val="404040" w:themeColor="text1" w:themeTint="BF"/>
    </w:rPr>
  </w:style>
  <w:style w:type="paragraph" w:styleId="ListParagraph">
    <w:name w:val="List Paragraph"/>
    <w:basedOn w:val="Normal"/>
    <w:uiPriority w:val="34"/>
    <w:qFormat/>
    <w:rsid w:val="001D787A"/>
    <w:pPr>
      <w:ind w:left="720"/>
      <w:contextualSpacing/>
    </w:pPr>
  </w:style>
  <w:style w:type="character" w:styleId="IntenseEmphasis">
    <w:name w:val="Intense Emphasis"/>
    <w:basedOn w:val="DefaultParagraphFont"/>
    <w:uiPriority w:val="21"/>
    <w:qFormat/>
    <w:rsid w:val="001D787A"/>
    <w:rPr>
      <w:i/>
      <w:iCs/>
      <w:color w:val="0F4761" w:themeColor="accent1" w:themeShade="BF"/>
    </w:rPr>
  </w:style>
  <w:style w:type="paragraph" w:styleId="IntenseQuote">
    <w:name w:val="Intense Quote"/>
    <w:basedOn w:val="Normal"/>
    <w:next w:val="Normal"/>
    <w:link w:val="IntenseQuoteChar"/>
    <w:uiPriority w:val="30"/>
    <w:qFormat/>
    <w:rsid w:val="001D7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787A"/>
    <w:rPr>
      <w:i/>
      <w:iCs/>
      <w:color w:val="0F4761" w:themeColor="accent1" w:themeShade="BF"/>
    </w:rPr>
  </w:style>
  <w:style w:type="character" w:styleId="IntenseReference">
    <w:name w:val="Intense Reference"/>
    <w:basedOn w:val="DefaultParagraphFont"/>
    <w:uiPriority w:val="32"/>
    <w:qFormat/>
    <w:rsid w:val="001D787A"/>
    <w:rPr>
      <w:b/>
      <w:bCs/>
      <w:smallCaps/>
      <w:color w:val="0F4761" w:themeColor="accent1" w:themeShade="BF"/>
      <w:spacing w:val="5"/>
    </w:rPr>
  </w:style>
  <w:style w:type="character" w:styleId="Hyperlink">
    <w:name w:val="Hyperlink"/>
    <w:basedOn w:val="DefaultParagraphFont"/>
    <w:uiPriority w:val="99"/>
    <w:unhideWhenUsed/>
    <w:rsid w:val="00CF07F2"/>
    <w:rPr>
      <w:color w:val="467886" w:themeColor="hyperlink"/>
      <w:u w:val="single"/>
    </w:rPr>
  </w:style>
  <w:style w:type="character" w:styleId="UnresolvedMention">
    <w:name w:val="Unresolved Mention"/>
    <w:basedOn w:val="DefaultParagraphFont"/>
    <w:uiPriority w:val="99"/>
    <w:semiHidden/>
    <w:unhideWhenUsed/>
    <w:rsid w:val="00CF07F2"/>
    <w:rPr>
      <w:color w:val="605E5C"/>
      <w:shd w:val="clear" w:color="auto" w:fill="E1DFDD"/>
    </w:rPr>
  </w:style>
  <w:style w:type="table" w:styleId="TableGrid">
    <w:name w:val="Table Grid"/>
    <w:basedOn w:val="TableNormal"/>
    <w:uiPriority w:val="39"/>
    <w:rsid w:val="00EE61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3" Type="http://schemas.openxmlformats.org/officeDocument/2006/relationships/settings" Target="settings.xml"/><Relationship Id="rId7" Type="http://schemas.openxmlformats.org/officeDocument/2006/relationships/image" Target="media/image3.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emf"/><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5</Pages>
  <Words>826</Words>
  <Characters>5033</Characters>
  <Application>Microsoft Office Word</Application>
  <DocSecurity>0</DocSecurity>
  <Lines>83</Lines>
  <Paragraphs>32</Paragraphs>
  <ScaleCrop>false</ScaleCrop>
  <Company/>
  <LinksUpToDate>false</LinksUpToDate>
  <CharactersWithSpaces>5827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Moaqir Ahmad Mian</dc:creator>
  <cp:keywords/>
  <dc:description/>
  <cp:lastModifiedBy>Moaqir Ahmad Mian</cp:lastModifiedBy>
  <cp:revision>113</cp:revision>
  <dcterms:created xsi:type="dcterms:W3CDTF">2026-01-15T13:24:00Z</dcterms:created>
  <dcterms:modified xsi:type="dcterms:W3CDTF">2026-01-15T14:12:00Z</dcterms:modified>
</cp:coreProperties>
</file>