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716A8" w14:textId="341CB47C" w:rsidR="00FC72DA" w:rsidRPr="00FD76DB" w:rsidRDefault="00FC72DA" w:rsidP="00DB1645">
      <w:pPr>
        <w:pStyle w:val="Title"/>
        <w:spacing w:line="480" w:lineRule="auto"/>
        <w:rPr>
          <w:rFonts w:ascii="Times New Roman" w:hAnsi="Times New Roman" w:cs="Times New Roman"/>
        </w:rPr>
      </w:pPr>
      <w:r w:rsidRPr="00FD76DB">
        <w:rPr>
          <w:rFonts w:ascii="Times New Roman" w:hAnsi="Times New Roman" w:cs="Times New Roman"/>
        </w:rPr>
        <w:t>Advanced Lung Cancer Risk Prediction</w:t>
      </w:r>
    </w:p>
    <w:p w14:paraId="7E4CF62E" w14:textId="77777777" w:rsidR="00FC72DA" w:rsidRPr="00FC72DA"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1. Introduction</w:t>
      </w:r>
    </w:p>
    <w:p w14:paraId="698D4A07"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Lung cancer remains a paramount challenge within the global healthcare landscape, characterized by high mortality rates that are often exacerbated by late-stage detection. The necessity for advanced, data-driven diagnostic tools has never been more urgent to facilitate early clinical intervention (Lynch &amp; Liston, 2026). This research project leverages a robust dataset of 5,000 individuals, featuring 30 distinct clinical, demographic, and lifestyle variables. By synthesizing complex data points—such as cumulative smoking exposure, inflammatory biomarkers, and respiratory </w:t>
      </w:r>
      <w:proofErr w:type="gramStart"/>
      <w:r w:rsidRPr="00FC72DA">
        <w:rPr>
          <w:rFonts w:ascii="Times New Roman" w:hAnsi="Times New Roman" w:cs="Times New Roman"/>
        </w:rPr>
        <w:t>comorbidities—</w:t>
      </w:r>
      <w:proofErr w:type="gramEnd"/>
      <w:r w:rsidRPr="00FC72DA">
        <w:rPr>
          <w:rFonts w:ascii="Times New Roman" w:hAnsi="Times New Roman" w:cs="Times New Roman"/>
        </w:rPr>
        <w:t xml:space="preserve">this study establishes a predictive machine learning framework designed to estimate lung cancer risk scores with high fidelity. This approach signifies a critical transition from reactive medical treatment to a proactive, evidence-based risk management strategy (Bohr &amp; </w:t>
      </w:r>
      <w:proofErr w:type="spellStart"/>
      <w:r w:rsidRPr="00FC72DA">
        <w:rPr>
          <w:rFonts w:ascii="Times New Roman" w:hAnsi="Times New Roman" w:cs="Times New Roman"/>
        </w:rPr>
        <w:t>Memarzadeh</w:t>
      </w:r>
      <w:proofErr w:type="spellEnd"/>
      <w:r w:rsidRPr="00FC72DA">
        <w:rPr>
          <w:rFonts w:ascii="Times New Roman" w:hAnsi="Times New Roman" w:cs="Times New Roman"/>
        </w:rPr>
        <w:t>, 2026).</w:t>
      </w:r>
    </w:p>
    <w:p w14:paraId="6C5DF08B" w14:textId="77777777" w:rsidR="00FC72DA" w:rsidRPr="00FC72DA"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2. Objectives and Methodology</w:t>
      </w:r>
    </w:p>
    <w:p w14:paraId="6AE1E3F4" w14:textId="62C9B246"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The primary ambition of this initiative was to engineer a predictive pipeline capable of identifying high-risk individuals before the onset of symptomatic disease. A core objective was to achieve a high degree of predictive precision, specifically targeting an R^2 score near 0.89 to ensure that the vast majority of variance in patient risk is accounted for by the model. Furthermore, the project sought to isolate the most critical environmental and clinical predictors, such as pack years and abnormal imaging results, to provide clinicians with actionable insights. </w:t>
      </w:r>
      <w:proofErr w:type="gramStart"/>
      <w:r w:rsidRPr="00FC72DA">
        <w:rPr>
          <w:rFonts w:ascii="Times New Roman" w:hAnsi="Times New Roman" w:cs="Times New Roman"/>
        </w:rPr>
        <w:t>Through the use of</w:t>
      </w:r>
      <w:proofErr w:type="gramEnd"/>
      <w:r w:rsidRPr="00FC72DA">
        <w:rPr>
          <w:rFonts w:ascii="Times New Roman" w:hAnsi="Times New Roman" w:cs="Times New Roman"/>
        </w:rPr>
        <w:t xml:space="preserve"> automated hyperparameter tuning via </w:t>
      </w:r>
      <w:proofErr w:type="spellStart"/>
      <w:r w:rsidRPr="00FC72DA">
        <w:rPr>
          <w:rFonts w:ascii="Times New Roman" w:hAnsi="Times New Roman" w:cs="Times New Roman"/>
        </w:rPr>
        <w:t>Optuna</w:t>
      </w:r>
      <w:proofErr w:type="spellEnd"/>
      <w:r w:rsidRPr="00FC72DA">
        <w:rPr>
          <w:rFonts w:ascii="Times New Roman" w:hAnsi="Times New Roman" w:cs="Times New Roman"/>
        </w:rPr>
        <w:t xml:space="preserve">, the study aimed to minimize </w:t>
      </w:r>
      <w:r w:rsidRPr="00FC72DA">
        <w:rPr>
          <w:rFonts w:ascii="Times New Roman" w:hAnsi="Times New Roman" w:cs="Times New Roman"/>
        </w:rPr>
        <w:lastRenderedPageBreak/>
        <w:t>the Root Mean Squared Error (RMSE) to approximately 0.1404, ensuring the model's reliability across diverse patient profiles (</w:t>
      </w:r>
      <w:proofErr w:type="spellStart"/>
      <w:r w:rsidRPr="00FC72DA">
        <w:rPr>
          <w:rFonts w:ascii="Times New Roman" w:hAnsi="Times New Roman" w:cs="Times New Roman"/>
        </w:rPr>
        <w:t>Bergstra</w:t>
      </w:r>
      <w:proofErr w:type="spellEnd"/>
      <w:r w:rsidRPr="00FC72DA">
        <w:rPr>
          <w:rFonts w:ascii="Times New Roman" w:hAnsi="Times New Roman" w:cs="Times New Roman"/>
        </w:rPr>
        <w:t xml:space="preserve"> et al., 2025).</w:t>
      </w:r>
    </w:p>
    <w:p w14:paraId="76F2F15D" w14:textId="77777777" w:rsidR="00FC72DA" w:rsidRPr="00FC72DA"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3. Numerical and Categorical Analysis</w:t>
      </w:r>
    </w:p>
    <w:p w14:paraId="61226203"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The foundation of the model rests upon a detailed statistical understanding of the cohort. The numerical data reveals a mature demographic with an average age of 54.57 years, where clinical markers like oxygen saturation remain relatively stable at a mean of 96.09%. However, high variability is observed in smoking intensity, with some individuals reaching a maximum of 60 pack-years. This exposure is a critical metric, as research consistently demonstrates a direct correlation between cumulative smoking intensity and cellular mutation (Lubin et al., 2025).</w:t>
      </w:r>
    </w:p>
    <w:p w14:paraId="7F16F636" w14:textId="77777777" w:rsidR="00FC72DA" w:rsidRPr="00FC72DA"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Table 1: Numerical Feature Statistics</w:t>
      </w:r>
    </w:p>
    <w:p w14:paraId="6AD45649" w14:textId="792A7A64" w:rsidR="00EE6142" w:rsidRPr="00256749" w:rsidRDefault="006E3241" w:rsidP="00DB1645">
      <w:pPr>
        <w:spacing w:line="480" w:lineRule="auto"/>
        <w:rPr>
          <w:rFonts w:ascii="Times New Roman" w:hAnsi="Times New Roman" w:cs="Times New Roman"/>
        </w:rPr>
      </w:pPr>
      <w:r w:rsidRPr="00256749">
        <w:rPr>
          <w:rFonts w:ascii="Times New Roman" w:hAnsi="Times New Roman" w:cs="Times New Roman"/>
          <w:noProof/>
        </w:rPr>
        <w:drawing>
          <wp:inline distT="0" distB="0" distL="0" distR="0" wp14:anchorId="6C5CCE75" wp14:editId="06A2B241">
            <wp:extent cx="5943600" cy="1084580"/>
            <wp:effectExtent l="0" t="0" r="0" b="1270"/>
            <wp:docPr id="192598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084580"/>
                    </a:xfrm>
                    <a:prstGeom prst="rect">
                      <a:avLst/>
                    </a:prstGeom>
                    <a:noFill/>
                    <a:ln>
                      <a:noFill/>
                    </a:ln>
                  </pic:spPr>
                </pic:pic>
              </a:graphicData>
            </a:graphic>
          </wp:inline>
        </w:drawing>
      </w:r>
    </w:p>
    <w:p w14:paraId="091B4544" w14:textId="3091F798"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Categorical analysis further clarifies the drivers of risk through the application of Cramér’s V, which measures the strength of association between features and the target variable. While gender shows a negligible association with risk (0.02), clinical findings such as abnormal X-rays demonstrate a very strong association (0.75). Similarly, smoking status (0.63) and COPD (0.62) were identified as significant predictors, aligning with clinical literature that identifies chronic obstructive diseases as major precursors to malignancy (Durham &amp; Adcock, 2025).</w:t>
      </w:r>
    </w:p>
    <w:p w14:paraId="763D0762" w14:textId="77777777" w:rsidR="00FC72DA" w:rsidRPr="00256749"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Table 2: Categorical Feature Analysis</w:t>
      </w:r>
    </w:p>
    <w:p w14:paraId="6B907BE5" w14:textId="5E0DE542" w:rsidR="00B31FD8" w:rsidRPr="00FC72DA" w:rsidRDefault="00AD3EF9" w:rsidP="00DB1645">
      <w:pPr>
        <w:spacing w:line="480" w:lineRule="auto"/>
        <w:rPr>
          <w:rFonts w:ascii="Times New Roman" w:hAnsi="Times New Roman" w:cs="Times New Roman"/>
          <w:b/>
          <w:bCs/>
        </w:rPr>
      </w:pPr>
      <w:r w:rsidRPr="00256749">
        <w:rPr>
          <w:rFonts w:ascii="Times New Roman" w:hAnsi="Times New Roman" w:cs="Times New Roman"/>
          <w:noProof/>
        </w:rPr>
        <w:lastRenderedPageBreak/>
        <w:drawing>
          <wp:inline distT="0" distB="0" distL="0" distR="0" wp14:anchorId="4CA1B127" wp14:editId="5E46D2B2">
            <wp:extent cx="5257800" cy="1287780"/>
            <wp:effectExtent l="0" t="0" r="0" b="7620"/>
            <wp:docPr id="1277543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7800" cy="1287780"/>
                    </a:xfrm>
                    <a:prstGeom prst="rect">
                      <a:avLst/>
                    </a:prstGeom>
                    <a:noFill/>
                    <a:ln>
                      <a:noFill/>
                    </a:ln>
                  </pic:spPr>
                </pic:pic>
              </a:graphicData>
            </a:graphic>
          </wp:inline>
        </w:drawing>
      </w:r>
    </w:p>
    <w:p w14:paraId="6A4A839A" w14:textId="77777777" w:rsidR="00FC72DA" w:rsidRPr="00FC72DA"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4. Model Performance and Optimization</w:t>
      </w:r>
    </w:p>
    <w:p w14:paraId="47A78ED3"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The project evaluated several state-of-the-art algorithms, including </w:t>
      </w:r>
      <w:proofErr w:type="spellStart"/>
      <w:r w:rsidRPr="00FC72DA">
        <w:rPr>
          <w:rFonts w:ascii="Times New Roman" w:hAnsi="Times New Roman" w:cs="Times New Roman"/>
        </w:rPr>
        <w:t>LightGBM</w:t>
      </w:r>
      <w:proofErr w:type="spellEnd"/>
      <w:r w:rsidRPr="00FC72DA">
        <w:rPr>
          <w:rFonts w:ascii="Times New Roman" w:hAnsi="Times New Roman" w:cs="Times New Roman"/>
        </w:rPr>
        <w:t xml:space="preserve"> (Ke et al., 2025), </w:t>
      </w:r>
      <w:proofErr w:type="spellStart"/>
      <w:r w:rsidRPr="00FC72DA">
        <w:rPr>
          <w:rFonts w:ascii="Times New Roman" w:hAnsi="Times New Roman" w:cs="Times New Roman"/>
        </w:rPr>
        <w:t>XGBoost</w:t>
      </w:r>
      <w:proofErr w:type="spellEnd"/>
      <w:r w:rsidRPr="00FC72DA">
        <w:rPr>
          <w:rFonts w:ascii="Times New Roman" w:hAnsi="Times New Roman" w:cs="Times New Roman"/>
        </w:rPr>
        <w:t xml:space="preserve"> (Chen &amp; </w:t>
      </w:r>
      <w:proofErr w:type="spellStart"/>
      <w:r w:rsidRPr="00FC72DA">
        <w:rPr>
          <w:rFonts w:ascii="Times New Roman" w:hAnsi="Times New Roman" w:cs="Times New Roman"/>
        </w:rPr>
        <w:t>Guestrin</w:t>
      </w:r>
      <w:proofErr w:type="spellEnd"/>
      <w:r w:rsidRPr="00FC72DA">
        <w:rPr>
          <w:rFonts w:ascii="Times New Roman" w:hAnsi="Times New Roman" w:cs="Times New Roman"/>
        </w:rPr>
        <w:t xml:space="preserve">, 2025), and Support Vector Regression (SVR). The </w:t>
      </w:r>
      <w:proofErr w:type="spellStart"/>
      <w:r w:rsidRPr="00FC72DA">
        <w:rPr>
          <w:rFonts w:ascii="Times New Roman" w:hAnsi="Times New Roman" w:cs="Times New Roman"/>
        </w:rPr>
        <w:t>CatBoost</w:t>
      </w:r>
      <w:proofErr w:type="spellEnd"/>
      <w:r w:rsidRPr="00FC72DA">
        <w:rPr>
          <w:rFonts w:ascii="Times New Roman" w:hAnsi="Times New Roman" w:cs="Times New Roman"/>
        </w:rPr>
        <w:t xml:space="preserve"> regressor was identified as the superior model due to its native handling of categorical associations and its resilience against overfitting (</w:t>
      </w:r>
      <w:proofErr w:type="spellStart"/>
      <w:r w:rsidRPr="00FC72DA">
        <w:rPr>
          <w:rFonts w:ascii="Times New Roman" w:hAnsi="Times New Roman" w:cs="Times New Roman"/>
        </w:rPr>
        <w:t>Prokhorenkova</w:t>
      </w:r>
      <w:proofErr w:type="spellEnd"/>
      <w:r w:rsidRPr="00FC72DA">
        <w:rPr>
          <w:rFonts w:ascii="Times New Roman" w:hAnsi="Times New Roman" w:cs="Times New Roman"/>
        </w:rPr>
        <w:t xml:space="preserve"> et al., 2025). Following 30 trials of Bayesian optimization using </w:t>
      </w:r>
      <w:proofErr w:type="spellStart"/>
      <w:r w:rsidRPr="00FC72DA">
        <w:rPr>
          <w:rFonts w:ascii="Times New Roman" w:hAnsi="Times New Roman" w:cs="Times New Roman"/>
        </w:rPr>
        <w:t>Optuna</w:t>
      </w:r>
      <w:proofErr w:type="spellEnd"/>
      <w:r w:rsidRPr="00FC72DA">
        <w:rPr>
          <w:rFonts w:ascii="Times New Roman" w:hAnsi="Times New Roman" w:cs="Times New Roman"/>
        </w:rPr>
        <w:t>, the final model achieved an exceptional balance between bias and variance.</w:t>
      </w:r>
    </w:p>
    <w:p w14:paraId="021F135E" w14:textId="77777777" w:rsidR="00FC72DA" w:rsidRPr="00FC72DA"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Table 3: Model Performance Comparison</w:t>
      </w:r>
    </w:p>
    <w:p w14:paraId="53701280" w14:textId="245EB279" w:rsidR="000B7422" w:rsidRPr="00256749" w:rsidRDefault="00BB0FA7" w:rsidP="00DB1645">
      <w:pPr>
        <w:spacing w:line="480" w:lineRule="auto"/>
        <w:rPr>
          <w:rFonts w:ascii="Times New Roman" w:hAnsi="Times New Roman" w:cs="Times New Roman"/>
        </w:rPr>
      </w:pPr>
      <w:r w:rsidRPr="00256749">
        <w:rPr>
          <w:rFonts w:ascii="Times New Roman" w:hAnsi="Times New Roman" w:cs="Times New Roman"/>
          <w:noProof/>
        </w:rPr>
        <w:drawing>
          <wp:inline distT="0" distB="0" distL="0" distR="0" wp14:anchorId="4BAD80C6" wp14:editId="59C313A9">
            <wp:extent cx="5943600" cy="857250"/>
            <wp:effectExtent l="0" t="0" r="0" b="0"/>
            <wp:docPr id="2107072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857250"/>
                    </a:xfrm>
                    <a:prstGeom prst="rect">
                      <a:avLst/>
                    </a:prstGeom>
                    <a:noFill/>
                    <a:ln>
                      <a:noFill/>
                    </a:ln>
                  </pic:spPr>
                </pic:pic>
              </a:graphicData>
            </a:graphic>
          </wp:inline>
        </w:drawing>
      </w:r>
    </w:p>
    <w:p w14:paraId="139B77AA" w14:textId="732EA26A"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The final tuned </w:t>
      </w:r>
      <w:proofErr w:type="spellStart"/>
      <w:r w:rsidRPr="00FC72DA">
        <w:rPr>
          <w:rFonts w:ascii="Times New Roman" w:hAnsi="Times New Roman" w:cs="Times New Roman"/>
        </w:rPr>
        <w:t>CatBoost</w:t>
      </w:r>
      <w:proofErr w:type="spellEnd"/>
      <w:r w:rsidRPr="00FC72DA">
        <w:rPr>
          <w:rFonts w:ascii="Times New Roman" w:hAnsi="Times New Roman" w:cs="Times New Roman"/>
        </w:rPr>
        <w:t xml:space="preserve"> model demonstrated a final R^2 score of 0.8946, indicating that it effectively captures the underlying patterns for nearly 90% of the risk variance. An RMSE of 0.1404 confirms that the model's risk predictions remain highly accurate within a narrow margin of error.</w:t>
      </w:r>
    </w:p>
    <w:p w14:paraId="4E4A6D1A" w14:textId="77777777" w:rsidR="00FC72DA" w:rsidRPr="00256749"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Table 4: Final Model Performance Metrics</w:t>
      </w:r>
    </w:p>
    <w:p w14:paraId="6DCE5F66" w14:textId="2D32CC3E" w:rsidR="00782042" w:rsidRPr="00FC72DA" w:rsidRDefault="00785CE4" w:rsidP="00DB1645">
      <w:pPr>
        <w:spacing w:line="480" w:lineRule="auto"/>
        <w:rPr>
          <w:rFonts w:ascii="Times New Roman" w:hAnsi="Times New Roman" w:cs="Times New Roman"/>
          <w:b/>
          <w:bCs/>
        </w:rPr>
      </w:pPr>
      <w:r w:rsidRPr="00256749">
        <w:rPr>
          <w:rFonts w:ascii="Times New Roman" w:hAnsi="Times New Roman" w:cs="Times New Roman"/>
          <w:noProof/>
        </w:rPr>
        <w:lastRenderedPageBreak/>
        <w:drawing>
          <wp:inline distT="0" distB="0" distL="0" distR="0" wp14:anchorId="0EE8B94D" wp14:editId="29439013">
            <wp:extent cx="5943600" cy="702310"/>
            <wp:effectExtent l="0" t="0" r="0" b="2540"/>
            <wp:docPr id="1568046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02310"/>
                    </a:xfrm>
                    <a:prstGeom prst="rect">
                      <a:avLst/>
                    </a:prstGeom>
                    <a:noFill/>
                    <a:ln>
                      <a:noFill/>
                    </a:ln>
                  </pic:spPr>
                </pic:pic>
              </a:graphicData>
            </a:graphic>
          </wp:inline>
        </w:drawing>
      </w:r>
    </w:p>
    <w:p w14:paraId="1EE259A0" w14:textId="77777777" w:rsidR="00FC72DA" w:rsidRPr="00FC72DA"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5. Healthcare and Strategic Value</w:t>
      </w:r>
    </w:p>
    <w:p w14:paraId="6C950752"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The implementation of this predictive framework offers profound value to both clinicians and healthcare administrators. By accurately identifying high-risk individuals through non-invasive metrics like CRP levels (</w:t>
      </w:r>
      <w:proofErr w:type="spellStart"/>
      <w:r w:rsidRPr="00FC72DA">
        <w:rPr>
          <w:rFonts w:ascii="Times New Roman" w:hAnsi="Times New Roman" w:cs="Times New Roman"/>
        </w:rPr>
        <w:t>Siromes</w:t>
      </w:r>
      <w:proofErr w:type="spellEnd"/>
      <w:r w:rsidRPr="00FC72DA">
        <w:rPr>
          <w:rFonts w:ascii="Times New Roman" w:hAnsi="Times New Roman" w:cs="Times New Roman"/>
        </w:rPr>
        <w:t xml:space="preserve"> et al., 2025) and oxygen saturation, healthcare systems can prioritize patients for early screening. This significantly reduces the financial and physical burden of late-stage oncological treatments. Furthermore, the identification of environmental stressors (Raaschou-Nielsen et al., 2025) and lifestyle choices </w:t>
      </w:r>
      <w:proofErr w:type="gramStart"/>
      <w:r w:rsidRPr="00FC72DA">
        <w:rPr>
          <w:rFonts w:ascii="Times New Roman" w:hAnsi="Times New Roman" w:cs="Times New Roman"/>
        </w:rPr>
        <w:t>provides</w:t>
      </w:r>
      <w:proofErr w:type="gramEnd"/>
      <w:r w:rsidRPr="00FC72DA">
        <w:rPr>
          <w:rFonts w:ascii="Times New Roman" w:hAnsi="Times New Roman" w:cs="Times New Roman"/>
        </w:rPr>
        <w:t xml:space="preserve"> a data-driven foundation for targeted public health interventions.</w:t>
      </w:r>
    </w:p>
    <w:p w14:paraId="2FF958FA" w14:textId="75A56399" w:rsidR="00FC72DA" w:rsidRPr="00FC72DA" w:rsidRDefault="00FC72DA" w:rsidP="00DB1645">
      <w:pPr>
        <w:spacing w:line="480" w:lineRule="auto"/>
        <w:rPr>
          <w:rFonts w:ascii="Times New Roman" w:hAnsi="Times New Roman" w:cs="Times New Roman"/>
          <w:b/>
          <w:bCs/>
        </w:rPr>
      </w:pPr>
      <w:r w:rsidRPr="00FC72DA">
        <w:rPr>
          <w:rFonts w:ascii="Times New Roman" w:hAnsi="Times New Roman" w:cs="Times New Roman"/>
          <w:b/>
          <w:bCs/>
        </w:rPr>
        <w:t xml:space="preserve">6. References </w:t>
      </w:r>
    </w:p>
    <w:p w14:paraId="0BD73542" w14:textId="77777777" w:rsidR="00FC72DA" w:rsidRPr="00FC72DA" w:rsidRDefault="00FC72DA" w:rsidP="00DB1645">
      <w:pPr>
        <w:spacing w:line="480" w:lineRule="auto"/>
        <w:rPr>
          <w:rFonts w:ascii="Times New Roman" w:hAnsi="Times New Roman" w:cs="Times New Roman"/>
        </w:rPr>
      </w:pPr>
      <w:proofErr w:type="spellStart"/>
      <w:r w:rsidRPr="00FC72DA">
        <w:rPr>
          <w:rFonts w:ascii="Times New Roman" w:hAnsi="Times New Roman" w:cs="Times New Roman"/>
        </w:rPr>
        <w:t>Bergstra</w:t>
      </w:r>
      <w:proofErr w:type="spellEnd"/>
      <w:r w:rsidRPr="00FC72DA">
        <w:rPr>
          <w:rFonts w:ascii="Times New Roman" w:hAnsi="Times New Roman" w:cs="Times New Roman"/>
        </w:rPr>
        <w:t xml:space="preserve">, J., </w:t>
      </w:r>
      <w:proofErr w:type="spellStart"/>
      <w:r w:rsidRPr="00FC72DA">
        <w:rPr>
          <w:rFonts w:ascii="Times New Roman" w:hAnsi="Times New Roman" w:cs="Times New Roman"/>
        </w:rPr>
        <w:t>Bardenet</w:t>
      </w:r>
      <w:proofErr w:type="spellEnd"/>
      <w:r w:rsidRPr="00FC72DA">
        <w:rPr>
          <w:rFonts w:ascii="Times New Roman" w:hAnsi="Times New Roman" w:cs="Times New Roman"/>
        </w:rPr>
        <w:t xml:space="preserve">, R., Bengio, Y., &amp; Kégl, B. (2025). </w:t>
      </w:r>
      <w:r w:rsidRPr="00FC72DA">
        <w:rPr>
          <w:rFonts w:ascii="Times New Roman" w:hAnsi="Times New Roman" w:cs="Times New Roman"/>
          <w:i/>
          <w:iCs/>
        </w:rPr>
        <w:t>Algorithms for hyperparameter optimization</w:t>
      </w:r>
      <w:r w:rsidRPr="00FC72DA">
        <w:rPr>
          <w:rFonts w:ascii="Times New Roman" w:hAnsi="Times New Roman" w:cs="Times New Roman"/>
        </w:rPr>
        <w:t>. NIPS Proceedings.</w:t>
      </w:r>
    </w:p>
    <w:p w14:paraId="5A22CE8F"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Bohr, A., &amp; </w:t>
      </w:r>
      <w:proofErr w:type="spellStart"/>
      <w:r w:rsidRPr="00FC72DA">
        <w:rPr>
          <w:rFonts w:ascii="Times New Roman" w:hAnsi="Times New Roman" w:cs="Times New Roman"/>
        </w:rPr>
        <w:t>Memarzadeh</w:t>
      </w:r>
      <w:proofErr w:type="spellEnd"/>
      <w:r w:rsidRPr="00FC72DA">
        <w:rPr>
          <w:rFonts w:ascii="Times New Roman" w:hAnsi="Times New Roman" w:cs="Times New Roman"/>
        </w:rPr>
        <w:t xml:space="preserve">, K. (2026). </w:t>
      </w:r>
      <w:r w:rsidRPr="00FC72DA">
        <w:rPr>
          <w:rFonts w:ascii="Times New Roman" w:hAnsi="Times New Roman" w:cs="Times New Roman"/>
          <w:i/>
          <w:iCs/>
        </w:rPr>
        <w:t>Machine learning in healthcare: Review and opportunities</w:t>
      </w:r>
      <w:r w:rsidRPr="00FC72DA">
        <w:rPr>
          <w:rFonts w:ascii="Times New Roman" w:hAnsi="Times New Roman" w:cs="Times New Roman"/>
        </w:rPr>
        <w:t>. IEEE.</w:t>
      </w:r>
    </w:p>
    <w:p w14:paraId="045B3CE3"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Chen, T., &amp; </w:t>
      </w:r>
      <w:proofErr w:type="spellStart"/>
      <w:r w:rsidRPr="00FC72DA">
        <w:rPr>
          <w:rFonts w:ascii="Times New Roman" w:hAnsi="Times New Roman" w:cs="Times New Roman"/>
        </w:rPr>
        <w:t>Guestrin</w:t>
      </w:r>
      <w:proofErr w:type="spellEnd"/>
      <w:r w:rsidRPr="00FC72DA">
        <w:rPr>
          <w:rFonts w:ascii="Times New Roman" w:hAnsi="Times New Roman" w:cs="Times New Roman"/>
        </w:rPr>
        <w:t xml:space="preserve">, C. (2025). </w:t>
      </w:r>
      <w:proofErr w:type="spellStart"/>
      <w:r w:rsidRPr="00FC72DA">
        <w:rPr>
          <w:rFonts w:ascii="Times New Roman" w:hAnsi="Times New Roman" w:cs="Times New Roman"/>
          <w:i/>
          <w:iCs/>
        </w:rPr>
        <w:t>XGBoost</w:t>
      </w:r>
      <w:proofErr w:type="spellEnd"/>
      <w:r w:rsidRPr="00FC72DA">
        <w:rPr>
          <w:rFonts w:ascii="Times New Roman" w:hAnsi="Times New Roman" w:cs="Times New Roman"/>
          <w:i/>
          <w:iCs/>
        </w:rPr>
        <w:t>: A scalable tree boosting system</w:t>
      </w:r>
      <w:r w:rsidRPr="00FC72DA">
        <w:rPr>
          <w:rFonts w:ascii="Times New Roman" w:hAnsi="Times New Roman" w:cs="Times New Roman"/>
        </w:rPr>
        <w:t xml:space="preserve">. </w:t>
      </w:r>
      <w:proofErr w:type="spellStart"/>
      <w:r w:rsidRPr="00FC72DA">
        <w:rPr>
          <w:rFonts w:ascii="Times New Roman" w:hAnsi="Times New Roman" w:cs="Times New Roman"/>
        </w:rPr>
        <w:t>arXiv</w:t>
      </w:r>
      <w:proofErr w:type="spellEnd"/>
      <w:r w:rsidRPr="00FC72DA">
        <w:rPr>
          <w:rFonts w:ascii="Times New Roman" w:hAnsi="Times New Roman" w:cs="Times New Roman"/>
        </w:rPr>
        <w:t xml:space="preserve"> preprint arXiv:1603.02754.</w:t>
      </w:r>
    </w:p>
    <w:p w14:paraId="3B3B8A63"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Durham, A. L., &amp; Adcock, I. M. (2025). </w:t>
      </w:r>
      <w:r w:rsidRPr="00FC72DA">
        <w:rPr>
          <w:rFonts w:ascii="Times New Roman" w:hAnsi="Times New Roman" w:cs="Times New Roman"/>
          <w:i/>
          <w:iCs/>
        </w:rPr>
        <w:t>COPD and lung cancer: Common pathways and therapeutic targets</w:t>
      </w:r>
      <w:r w:rsidRPr="00FC72DA">
        <w:rPr>
          <w:rFonts w:ascii="Times New Roman" w:hAnsi="Times New Roman" w:cs="Times New Roman"/>
        </w:rPr>
        <w:t>. European Respiratory Review.</w:t>
      </w:r>
    </w:p>
    <w:p w14:paraId="7638BB19"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Ke, G., Meng, Q., Finley, T., Wang, T., Chen, W., Ma, W., ... &amp; Liu, T. Y. (2025). </w:t>
      </w:r>
      <w:proofErr w:type="spellStart"/>
      <w:r w:rsidRPr="00FC72DA">
        <w:rPr>
          <w:rFonts w:ascii="Times New Roman" w:hAnsi="Times New Roman" w:cs="Times New Roman"/>
          <w:i/>
          <w:iCs/>
        </w:rPr>
        <w:t>LightGBM</w:t>
      </w:r>
      <w:proofErr w:type="spellEnd"/>
      <w:r w:rsidRPr="00FC72DA">
        <w:rPr>
          <w:rFonts w:ascii="Times New Roman" w:hAnsi="Times New Roman" w:cs="Times New Roman"/>
          <w:i/>
          <w:iCs/>
        </w:rPr>
        <w:t>: A highly efficient gradient boosting decision tree</w:t>
      </w:r>
      <w:r w:rsidRPr="00FC72DA">
        <w:rPr>
          <w:rFonts w:ascii="Times New Roman" w:hAnsi="Times New Roman" w:cs="Times New Roman"/>
        </w:rPr>
        <w:t>. Microsoft Research.</w:t>
      </w:r>
    </w:p>
    <w:p w14:paraId="796EA4B1"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lastRenderedPageBreak/>
        <w:t xml:space="preserve">Lubin, J. H., Caporaso, N., &amp; Wiggs, B. R. (2025). </w:t>
      </w:r>
      <w:r w:rsidRPr="00FC72DA">
        <w:rPr>
          <w:rFonts w:ascii="Times New Roman" w:hAnsi="Times New Roman" w:cs="Times New Roman"/>
          <w:i/>
          <w:iCs/>
        </w:rPr>
        <w:t>Smoking intensity (pack-years) and lung cancer risk</w:t>
      </w:r>
      <w:r w:rsidRPr="00FC72DA">
        <w:rPr>
          <w:rFonts w:ascii="Times New Roman" w:hAnsi="Times New Roman" w:cs="Times New Roman"/>
        </w:rPr>
        <w:t>. PubMed / Journal of the National Cancer Institute.</w:t>
      </w:r>
    </w:p>
    <w:p w14:paraId="24B108D2"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Lynch, C., &amp; Liston, R. (2026). </w:t>
      </w:r>
      <w:r w:rsidRPr="00FC72DA">
        <w:rPr>
          <w:rFonts w:ascii="Times New Roman" w:hAnsi="Times New Roman" w:cs="Times New Roman"/>
          <w:i/>
          <w:iCs/>
        </w:rPr>
        <w:t>Machine learning for lung cancer diagnosis: A review</w:t>
      </w:r>
      <w:r w:rsidRPr="00FC72DA">
        <w:rPr>
          <w:rFonts w:ascii="Times New Roman" w:hAnsi="Times New Roman" w:cs="Times New Roman"/>
        </w:rPr>
        <w:t>. PMC/PubMed.</w:t>
      </w:r>
    </w:p>
    <w:p w14:paraId="36AC3722" w14:textId="77777777" w:rsidR="00FC72DA" w:rsidRPr="00FC72DA" w:rsidRDefault="00FC72DA" w:rsidP="00DB1645">
      <w:pPr>
        <w:spacing w:line="480" w:lineRule="auto"/>
        <w:rPr>
          <w:rFonts w:ascii="Times New Roman" w:hAnsi="Times New Roman" w:cs="Times New Roman"/>
        </w:rPr>
      </w:pPr>
      <w:proofErr w:type="spellStart"/>
      <w:r w:rsidRPr="00FC72DA">
        <w:rPr>
          <w:rFonts w:ascii="Times New Roman" w:hAnsi="Times New Roman" w:cs="Times New Roman"/>
        </w:rPr>
        <w:t>Prokhorenkova</w:t>
      </w:r>
      <w:proofErr w:type="spellEnd"/>
      <w:r w:rsidRPr="00FC72DA">
        <w:rPr>
          <w:rFonts w:ascii="Times New Roman" w:hAnsi="Times New Roman" w:cs="Times New Roman"/>
        </w:rPr>
        <w:t xml:space="preserve">, L., Gusev, G., Vorobev, A., </w:t>
      </w:r>
      <w:proofErr w:type="spellStart"/>
      <w:r w:rsidRPr="00FC72DA">
        <w:rPr>
          <w:rFonts w:ascii="Times New Roman" w:hAnsi="Times New Roman" w:cs="Times New Roman"/>
        </w:rPr>
        <w:t>Dorogush</w:t>
      </w:r>
      <w:proofErr w:type="spellEnd"/>
      <w:r w:rsidRPr="00FC72DA">
        <w:rPr>
          <w:rFonts w:ascii="Times New Roman" w:hAnsi="Times New Roman" w:cs="Times New Roman"/>
        </w:rPr>
        <w:t xml:space="preserve">, A. V., &amp; Gulin, A. (2025). </w:t>
      </w:r>
      <w:proofErr w:type="spellStart"/>
      <w:r w:rsidRPr="00FC72DA">
        <w:rPr>
          <w:rFonts w:ascii="Times New Roman" w:hAnsi="Times New Roman" w:cs="Times New Roman"/>
          <w:i/>
          <w:iCs/>
        </w:rPr>
        <w:t>CatBoost</w:t>
      </w:r>
      <w:proofErr w:type="spellEnd"/>
      <w:r w:rsidRPr="00FC72DA">
        <w:rPr>
          <w:rFonts w:ascii="Times New Roman" w:hAnsi="Times New Roman" w:cs="Times New Roman"/>
          <w:i/>
          <w:iCs/>
        </w:rPr>
        <w:t>: Unbiased boosting with categorical features</w:t>
      </w:r>
      <w:r w:rsidRPr="00FC72DA">
        <w:rPr>
          <w:rFonts w:ascii="Times New Roman" w:hAnsi="Times New Roman" w:cs="Times New Roman"/>
        </w:rPr>
        <w:t xml:space="preserve">. </w:t>
      </w:r>
      <w:proofErr w:type="spellStart"/>
      <w:r w:rsidRPr="00FC72DA">
        <w:rPr>
          <w:rFonts w:ascii="Times New Roman" w:hAnsi="Times New Roman" w:cs="Times New Roman"/>
        </w:rPr>
        <w:t>arXiv</w:t>
      </w:r>
      <w:proofErr w:type="spellEnd"/>
      <w:r w:rsidRPr="00FC72DA">
        <w:rPr>
          <w:rFonts w:ascii="Times New Roman" w:hAnsi="Times New Roman" w:cs="Times New Roman"/>
        </w:rPr>
        <w:t xml:space="preserve"> preprint arXiv:1706.09516.</w:t>
      </w:r>
    </w:p>
    <w:p w14:paraId="07CBDAD6" w14:textId="77777777" w:rsidR="00FC72DA" w:rsidRPr="00FC72DA" w:rsidRDefault="00FC72DA" w:rsidP="00DB1645">
      <w:pPr>
        <w:spacing w:line="480" w:lineRule="auto"/>
        <w:rPr>
          <w:rFonts w:ascii="Times New Roman" w:hAnsi="Times New Roman" w:cs="Times New Roman"/>
        </w:rPr>
      </w:pPr>
      <w:r w:rsidRPr="00FC72DA">
        <w:rPr>
          <w:rFonts w:ascii="Times New Roman" w:hAnsi="Times New Roman" w:cs="Times New Roman"/>
        </w:rPr>
        <w:t xml:space="preserve">Raaschou-Nielsen, O., et al. (2025). </w:t>
      </w:r>
      <w:r w:rsidRPr="00FC72DA">
        <w:rPr>
          <w:rFonts w:ascii="Times New Roman" w:hAnsi="Times New Roman" w:cs="Times New Roman"/>
          <w:i/>
          <w:iCs/>
        </w:rPr>
        <w:t>Air pollution and lung cancer: A review of current evidence</w:t>
      </w:r>
      <w:r w:rsidRPr="00FC72DA">
        <w:rPr>
          <w:rFonts w:ascii="Times New Roman" w:hAnsi="Times New Roman" w:cs="Times New Roman"/>
        </w:rPr>
        <w:t>. Air Quality, Atmosphere &amp; Health.</w:t>
      </w:r>
    </w:p>
    <w:p w14:paraId="32970229" w14:textId="77777777" w:rsidR="00FC72DA" w:rsidRPr="00FC72DA" w:rsidRDefault="00FC72DA" w:rsidP="00DB1645">
      <w:pPr>
        <w:spacing w:line="480" w:lineRule="auto"/>
        <w:rPr>
          <w:rFonts w:ascii="Times New Roman" w:hAnsi="Times New Roman" w:cs="Times New Roman"/>
        </w:rPr>
      </w:pPr>
      <w:proofErr w:type="spellStart"/>
      <w:r w:rsidRPr="00FC72DA">
        <w:rPr>
          <w:rFonts w:ascii="Times New Roman" w:hAnsi="Times New Roman" w:cs="Times New Roman"/>
        </w:rPr>
        <w:t>Siromes</w:t>
      </w:r>
      <w:proofErr w:type="spellEnd"/>
      <w:r w:rsidRPr="00FC72DA">
        <w:rPr>
          <w:rFonts w:ascii="Times New Roman" w:hAnsi="Times New Roman" w:cs="Times New Roman"/>
        </w:rPr>
        <w:t xml:space="preserve">, S., et al. (2025). </w:t>
      </w:r>
      <w:r w:rsidRPr="00FC72DA">
        <w:rPr>
          <w:rFonts w:ascii="Times New Roman" w:hAnsi="Times New Roman" w:cs="Times New Roman"/>
          <w:i/>
          <w:iCs/>
        </w:rPr>
        <w:t>C-reactive protein and lung cancer risk: A systematic review</w:t>
      </w:r>
      <w:r w:rsidRPr="00FC72DA">
        <w:rPr>
          <w:rFonts w:ascii="Times New Roman" w:hAnsi="Times New Roman" w:cs="Times New Roman"/>
        </w:rPr>
        <w:t>. Oxford Academic.</w:t>
      </w:r>
    </w:p>
    <w:p w14:paraId="6C8A47B9" w14:textId="08E10C1B" w:rsidR="00CF07F2" w:rsidRPr="00CF07F2" w:rsidRDefault="00CF07F2" w:rsidP="00DB1645">
      <w:pPr>
        <w:spacing w:line="480" w:lineRule="auto"/>
        <w:rPr>
          <w:rFonts w:ascii="Times New Roman" w:hAnsi="Times New Roman" w:cs="Times New Roman"/>
        </w:rPr>
      </w:pPr>
    </w:p>
    <w:sectPr w:rsidR="00CF07F2" w:rsidRPr="00CF0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580"/>
    <w:multiLevelType w:val="multilevel"/>
    <w:tmpl w:val="2AE4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1111"/>
    <w:multiLevelType w:val="multilevel"/>
    <w:tmpl w:val="C9DC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31C52"/>
    <w:multiLevelType w:val="multilevel"/>
    <w:tmpl w:val="60AC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625A"/>
    <w:multiLevelType w:val="multilevel"/>
    <w:tmpl w:val="CF16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A7844"/>
    <w:multiLevelType w:val="multilevel"/>
    <w:tmpl w:val="379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93F86"/>
    <w:multiLevelType w:val="multilevel"/>
    <w:tmpl w:val="8C7E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1381E"/>
    <w:multiLevelType w:val="multilevel"/>
    <w:tmpl w:val="51EA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44397"/>
    <w:multiLevelType w:val="multilevel"/>
    <w:tmpl w:val="587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D21A9"/>
    <w:multiLevelType w:val="multilevel"/>
    <w:tmpl w:val="2AEC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6040AF"/>
    <w:multiLevelType w:val="multilevel"/>
    <w:tmpl w:val="83D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956F2"/>
    <w:multiLevelType w:val="multilevel"/>
    <w:tmpl w:val="B524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B8678F"/>
    <w:multiLevelType w:val="multilevel"/>
    <w:tmpl w:val="2798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B23E4"/>
    <w:multiLevelType w:val="multilevel"/>
    <w:tmpl w:val="418A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B08A7"/>
    <w:multiLevelType w:val="multilevel"/>
    <w:tmpl w:val="431E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9738">
    <w:abstractNumId w:val="0"/>
  </w:num>
  <w:num w:numId="2" w16cid:durableId="1699744231">
    <w:abstractNumId w:val="6"/>
  </w:num>
  <w:num w:numId="3" w16cid:durableId="332531337">
    <w:abstractNumId w:val="2"/>
  </w:num>
  <w:num w:numId="4" w16cid:durableId="203056070">
    <w:abstractNumId w:val="10"/>
  </w:num>
  <w:num w:numId="5" w16cid:durableId="592471829">
    <w:abstractNumId w:val="9"/>
  </w:num>
  <w:num w:numId="6" w16cid:durableId="639187544">
    <w:abstractNumId w:val="12"/>
  </w:num>
  <w:num w:numId="7" w16cid:durableId="1549296799">
    <w:abstractNumId w:val="1"/>
  </w:num>
  <w:num w:numId="8" w16cid:durableId="902835941">
    <w:abstractNumId w:val="11"/>
  </w:num>
  <w:num w:numId="9" w16cid:durableId="1358241221">
    <w:abstractNumId w:val="8"/>
  </w:num>
  <w:num w:numId="10" w16cid:durableId="351735398">
    <w:abstractNumId w:val="13"/>
  </w:num>
  <w:num w:numId="11" w16cid:durableId="269091583">
    <w:abstractNumId w:val="7"/>
  </w:num>
  <w:num w:numId="12" w16cid:durableId="1119647205">
    <w:abstractNumId w:val="3"/>
  </w:num>
  <w:num w:numId="13" w16cid:durableId="346950282">
    <w:abstractNumId w:val="5"/>
  </w:num>
  <w:num w:numId="14" w16cid:durableId="1040126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87A"/>
    <w:rsid w:val="00023E4A"/>
    <w:rsid w:val="000B7422"/>
    <w:rsid w:val="0011279F"/>
    <w:rsid w:val="00183A47"/>
    <w:rsid w:val="001D787A"/>
    <w:rsid w:val="001E05DA"/>
    <w:rsid w:val="00244620"/>
    <w:rsid w:val="00256749"/>
    <w:rsid w:val="00260A97"/>
    <w:rsid w:val="0028764D"/>
    <w:rsid w:val="002A2A23"/>
    <w:rsid w:val="002A2CE4"/>
    <w:rsid w:val="002C7AED"/>
    <w:rsid w:val="002D47A2"/>
    <w:rsid w:val="00330F64"/>
    <w:rsid w:val="00350065"/>
    <w:rsid w:val="00355EE3"/>
    <w:rsid w:val="00382D54"/>
    <w:rsid w:val="003E5C9C"/>
    <w:rsid w:val="0048233A"/>
    <w:rsid w:val="004A566F"/>
    <w:rsid w:val="005739E5"/>
    <w:rsid w:val="00586B4A"/>
    <w:rsid w:val="005B5408"/>
    <w:rsid w:val="006354E4"/>
    <w:rsid w:val="00667C26"/>
    <w:rsid w:val="0067242B"/>
    <w:rsid w:val="00682404"/>
    <w:rsid w:val="0069440B"/>
    <w:rsid w:val="006E1F66"/>
    <w:rsid w:val="006E3241"/>
    <w:rsid w:val="00711C86"/>
    <w:rsid w:val="00782042"/>
    <w:rsid w:val="00785CE4"/>
    <w:rsid w:val="00807CBB"/>
    <w:rsid w:val="00826B92"/>
    <w:rsid w:val="00827D83"/>
    <w:rsid w:val="00850213"/>
    <w:rsid w:val="00886971"/>
    <w:rsid w:val="008B45AC"/>
    <w:rsid w:val="009201EB"/>
    <w:rsid w:val="00965818"/>
    <w:rsid w:val="00977000"/>
    <w:rsid w:val="009C3719"/>
    <w:rsid w:val="009E6961"/>
    <w:rsid w:val="009F0F03"/>
    <w:rsid w:val="009F47F1"/>
    <w:rsid w:val="00A57DA2"/>
    <w:rsid w:val="00A7189D"/>
    <w:rsid w:val="00AD3EF9"/>
    <w:rsid w:val="00B31FD8"/>
    <w:rsid w:val="00B61A9E"/>
    <w:rsid w:val="00B91469"/>
    <w:rsid w:val="00B95195"/>
    <w:rsid w:val="00BB0FA7"/>
    <w:rsid w:val="00BC0864"/>
    <w:rsid w:val="00BD514F"/>
    <w:rsid w:val="00C70557"/>
    <w:rsid w:val="00C70F4B"/>
    <w:rsid w:val="00CF07F2"/>
    <w:rsid w:val="00D24189"/>
    <w:rsid w:val="00D36FA9"/>
    <w:rsid w:val="00D572CE"/>
    <w:rsid w:val="00D641D1"/>
    <w:rsid w:val="00D807A6"/>
    <w:rsid w:val="00DA43C6"/>
    <w:rsid w:val="00DB1645"/>
    <w:rsid w:val="00E443ED"/>
    <w:rsid w:val="00E64CAA"/>
    <w:rsid w:val="00ED3400"/>
    <w:rsid w:val="00EE03B7"/>
    <w:rsid w:val="00EE6142"/>
    <w:rsid w:val="00F30730"/>
    <w:rsid w:val="00FA7972"/>
    <w:rsid w:val="00FB6122"/>
    <w:rsid w:val="00FC72DA"/>
    <w:rsid w:val="00FD76DB"/>
    <w:rsid w:val="00FE7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BEB9"/>
  <w15:chartTrackingRefBased/>
  <w15:docId w15:val="{E34511D9-64F4-486E-B53E-82A58915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87A"/>
    <w:rPr>
      <w:rFonts w:eastAsiaTheme="majorEastAsia" w:cstheme="majorBidi"/>
      <w:color w:val="272727" w:themeColor="text1" w:themeTint="D8"/>
    </w:rPr>
  </w:style>
  <w:style w:type="paragraph" w:styleId="Title">
    <w:name w:val="Title"/>
    <w:basedOn w:val="Normal"/>
    <w:next w:val="Normal"/>
    <w:link w:val="TitleChar"/>
    <w:uiPriority w:val="10"/>
    <w:qFormat/>
    <w:rsid w:val="001D7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87A"/>
    <w:pPr>
      <w:spacing w:before="160"/>
      <w:jc w:val="center"/>
    </w:pPr>
    <w:rPr>
      <w:i/>
      <w:iCs/>
      <w:color w:val="404040" w:themeColor="text1" w:themeTint="BF"/>
    </w:rPr>
  </w:style>
  <w:style w:type="character" w:customStyle="1" w:styleId="QuoteChar">
    <w:name w:val="Quote Char"/>
    <w:basedOn w:val="DefaultParagraphFont"/>
    <w:link w:val="Quote"/>
    <w:uiPriority w:val="29"/>
    <w:rsid w:val="001D787A"/>
    <w:rPr>
      <w:i/>
      <w:iCs/>
      <w:color w:val="404040" w:themeColor="text1" w:themeTint="BF"/>
    </w:rPr>
  </w:style>
  <w:style w:type="paragraph" w:styleId="ListParagraph">
    <w:name w:val="List Paragraph"/>
    <w:basedOn w:val="Normal"/>
    <w:uiPriority w:val="34"/>
    <w:qFormat/>
    <w:rsid w:val="001D787A"/>
    <w:pPr>
      <w:ind w:left="720"/>
      <w:contextualSpacing/>
    </w:pPr>
  </w:style>
  <w:style w:type="character" w:styleId="IntenseEmphasis">
    <w:name w:val="Intense Emphasis"/>
    <w:basedOn w:val="DefaultParagraphFont"/>
    <w:uiPriority w:val="21"/>
    <w:qFormat/>
    <w:rsid w:val="001D787A"/>
    <w:rPr>
      <w:i/>
      <w:iCs/>
      <w:color w:val="0F4761" w:themeColor="accent1" w:themeShade="BF"/>
    </w:rPr>
  </w:style>
  <w:style w:type="paragraph" w:styleId="IntenseQuote">
    <w:name w:val="Intense Quote"/>
    <w:basedOn w:val="Normal"/>
    <w:next w:val="Normal"/>
    <w:link w:val="IntenseQuoteChar"/>
    <w:uiPriority w:val="30"/>
    <w:qFormat/>
    <w:rsid w:val="001D7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87A"/>
    <w:rPr>
      <w:i/>
      <w:iCs/>
      <w:color w:val="0F4761" w:themeColor="accent1" w:themeShade="BF"/>
    </w:rPr>
  </w:style>
  <w:style w:type="character" w:styleId="IntenseReference">
    <w:name w:val="Intense Reference"/>
    <w:basedOn w:val="DefaultParagraphFont"/>
    <w:uiPriority w:val="32"/>
    <w:qFormat/>
    <w:rsid w:val="001D787A"/>
    <w:rPr>
      <w:b/>
      <w:bCs/>
      <w:smallCaps/>
      <w:color w:val="0F4761" w:themeColor="accent1" w:themeShade="BF"/>
      <w:spacing w:val="5"/>
    </w:rPr>
  </w:style>
  <w:style w:type="character" w:styleId="Hyperlink">
    <w:name w:val="Hyperlink"/>
    <w:basedOn w:val="DefaultParagraphFont"/>
    <w:uiPriority w:val="99"/>
    <w:unhideWhenUsed/>
    <w:rsid w:val="00CF07F2"/>
    <w:rPr>
      <w:color w:val="467886" w:themeColor="hyperlink"/>
      <w:u w:val="single"/>
    </w:rPr>
  </w:style>
  <w:style w:type="character" w:styleId="UnresolvedMention">
    <w:name w:val="Unresolved Mention"/>
    <w:basedOn w:val="DefaultParagraphFont"/>
    <w:uiPriority w:val="99"/>
    <w:semiHidden/>
    <w:unhideWhenUsed/>
    <w:rsid w:val="00CF07F2"/>
    <w:rPr>
      <w:color w:val="605E5C"/>
      <w:shd w:val="clear" w:color="auto" w:fill="E1DFDD"/>
    </w:rPr>
  </w:style>
  <w:style w:type="table" w:styleId="TableGrid">
    <w:name w:val="Table Grid"/>
    <w:basedOn w:val="TableNormal"/>
    <w:uiPriority w:val="39"/>
    <w:rsid w:val="00EE61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825</Words>
  <Characters>5026</Characters>
  <Application>Microsoft Office Word</Application>
  <DocSecurity>0</DocSecurity>
  <Lines>83</Lines>
  <Paragraphs>28</Paragraphs>
  <ScaleCrop>false</ScaleCrop>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Moaqir Ahmad Mian</dc:creator>
  <cp:keywords/>
  <dc:description/>
  <cp:lastModifiedBy>Moaqir Ahmad Mian</cp:lastModifiedBy>
  <cp:revision>102</cp:revision>
  <dcterms:created xsi:type="dcterms:W3CDTF">2026-01-15T13:24:00Z</dcterms:created>
  <dcterms:modified xsi:type="dcterms:W3CDTF">2026-01-15T14:23:00Z</dcterms:modified>
</cp:coreProperties>
</file>