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Deutsche Telekom Sustainability Strategy Analysis</w:t>
      </w:r>
    </w:p>
    <w:p>
      <w:pPr>
        <w:jc w:val="center"/>
      </w:pPr>
      <w:r>
        <w:t>Submission version (3-5 pages): enriched introduction, SDG actions by date, charts and animation</w:t>
      </w:r>
    </w:p>
    <w:p>
      <w:pPr>
        <w:pStyle w:val="Heading1"/>
      </w:pPr>
      <w:r>
        <w:t>Executive Summary</w:t>
      </w:r>
    </w:p>
    <w:p>
      <w:r>
        <w:t>Deutsche Telekom (DT) has developed a mature sustainability strategy with strong governance integration, board-level oversight, and clear climate milestones. The strategic challenge is now implementation speed in Scope 3, where most value-chain emissions and dependencies are concentrated.</w:t>
      </w:r>
    </w:p>
    <w:p>
      <w:pPr>
        <w:pStyle w:val="Heading1"/>
      </w:pPr>
      <w:r>
        <w:t>Company Profile (Detailed Introduction)</w:t>
      </w:r>
    </w:p>
    <w:p>
      <w:pPr>
        <w:pStyle w:val="ListBullet"/>
      </w:pPr>
      <w:r>
        <w:t>Headquarters: Bonn, Germany. Founded in 1995 as Deutsche Telekom AG.</w:t>
      </w:r>
    </w:p>
    <w:p>
      <w:pPr>
        <w:pStyle w:val="ListBullet"/>
      </w:pPr>
      <w:r>
        <w:t>Reporting perimeter: 326 fully consolidated companies (CR reporting scope).</w:t>
      </w:r>
    </w:p>
    <w:p>
      <w:pPr>
        <w:pStyle w:val="ListBullet"/>
      </w:pPr>
      <w:r>
        <w:t>Commercial scale: 298 million total connections and around 245,000 petabytes of annual network data traffic (GSMA indicators in CR reporting).</w:t>
      </w:r>
    </w:p>
    <w:p>
      <w:pPr>
        <w:pStyle w:val="ListBullet"/>
      </w:pPr>
      <w:r>
        <w:t>Workforce: about 199,000 employees in 2025 (public market profile referencing annual reporting); CR workforce profile indicates a strong international mix (about 61% international and 39% domestic in 2021 profile).</w:t>
      </w:r>
    </w:p>
    <w:p>
      <w:pPr>
        <w:pStyle w:val="ListBullet"/>
      </w:pPr>
      <w:r>
        <w:t>Operating structure: Germany, USA, Europe, Systems Solutions; these segments represent roughly 99% of Group sales in ESG KPI governance.</w:t>
      </w:r>
    </w:p>
    <w:p>
      <w:r>
        <w:t>Strategic implication: DT's size and geographic spread make sustainability a portfolio-execution challenge across infrastructure, supply chains, and customer ecosystems.</w:t>
      </w:r>
    </w:p>
    <w:p>
      <w:pPr>
        <w:pStyle w:val="Heading1"/>
      </w:pPr>
      <w:r>
        <w:t>Emissions and SDG Evolution</w:t>
      </w:r>
    </w:p>
    <w:p>
      <w:pPr>
        <w:pStyle w:val="Heading2"/>
      </w:pPr>
      <w:r>
        <w:t>Verified Scope Values (Recent Robust Years)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Scope 1</w:t>
            </w:r>
          </w:p>
        </w:tc>
        <w:tc>
          <w:tcPr>
            <w:tcW w:type="dxa" w:w="1728"/>
          </w:tcPr>
          <w:p>
            <w:r>
              <w:t>Scope 2 (market)</w:t>
            </w:r>
          </w:p>
        </w:tc>
        <w:tc>
          <w:tcPr>
            <w:tcW w:type="dxa" w:w="1728"/>
          </w:tcPr>
          <w:p>
            <w:r>
              <w:t>Scope 2 (location)</w:t>
            </w:r>
          </w:p>
        </w:tc>
        <w:tc>
          <w:tcPr>
            <w:tcW w:type="dxa" w:w="1728"/>
          </w:tcPr>
          <w:p>
            <w:r>
              <w:t>Scope 3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212,044</w:t>
            </w:r>
          </w:p>
        </w:tc>
        <w:tc>
          <w:tcPr>
            <w:tcW w:type="dxa" w:w="1728"/>
          </w:tcPr>
          <w:p>
            <w:r>
              <w:t>21,019</w:t>
            </w:r>
          </w:p>
        </w:tc>
        <w:tc>
          <w:tcPr>
            <w:tcW w:type="dxa" w:w="1728"/>
          </w:tcPr>
          <w:p>
            <w:r>
              <w:t>4,232,913</w:t>
            </w:r>
          </w:p>
        </w:tc>
        <w:tc>
          <w:tcPr>
            <w:tcW w:type="dxa" w:w="1728"/>
          </w:tcPr>
          <w:p>
            <w:r>
              <w:t>progress vs baseline disclosed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239,602</w:t>
            </w:r>
          </w:p>
        </w:tc>
        <w:tc>
          <w:tcPr>
            <w:tcW w:type="dxa" w:w="1728"/>
          </w:tcPr>
          <w:p>
            <w:r>
              <w:t>17,957</w:t>
            </w:r>
          </w:p>
        </w:tc>
        <w:tc>
          <w:tcPr>
            <w:tcW w:type="dxa" w:w="1728"/>
          </w:tcPr>
          <w:p>
            <w:r>
              <w:t>3,979,565</w:t>
            </w:r>
          </w:p>
        </w:tc>
        <w:tc>
          <w:tcPr>
            <w:tcW w:type="dxa" w:w="1728"/>
          </w:tcPr>
          <w:p>
            <w:r>
              <w:t>progress vs baseline disclosed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236,355</w:t>
            </w:r>
          </w:p>
        </w:tc>
        <w:tc>
          <w:tcPr>
            <w:tcW w:type="dxa" w:w="1728"/>
          </w:tcPr>
          <w:p>
            <w:r>
              <w:t>16,212</w:t>
            </w:r>
          </w:p>
        </w:tc>
        <w:tc>
          <w:tcPr>
            <w:tcW w:type="dxa" w:w="1728"/>
          </w:tcPr>
          <w:p>
            <w:r>
              <w:t>4,002,218</w:t>
            </w:r>
          </w:p>
        </w:tc>
        <w:tc>
          <w:tcPr>
            <w:tcW w:type="dxa" w:w="1728"/>
          </w:tcPr>
          <w:p>
            <w:r>
              <w:t>progress vs baseline disclosed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223,790</w:t>
            </w:r>
          </w:p>
        </w:tc>
        <w:tc>
          <w:tcPr>
            <w:tcW w:type="dxa" w:w="1728"/>
          </w:tcPr>
          <w:p>
            <w:r>
              <w:t>16,375</w:t>
            </w:r>
          </w:p>
        </w:tc>
        <w:tc>
          <w:tcPr>
            <w:tcW w:type="dxa" w:w="1728"/>
          </w:tcPr>
          <w:p>
            <w:r>
              <w:t>3,736,800</w:t>
            </w:r>
          </w:p>
        </w:tc>
        <w:tc>
          <w:tcPr>
            <w:tcW w:type="dxa" w:w="1728"/>
          </w:tcPr>
          <w:p>
            <w:r>
              <w:t>progress vs baseline disclosed</w:t>
            </w:r>
          </w:p>
        </w:tc>
      </w:tr>
    </w:tbl>
    <w:p>
      <w:r>
        <w:rPr>
          <w:b/>
        </w:rPr>
        <w:t>Figure 1. Scope 1 and Scope 2 (market-based) evolution</w:t>
      </w:r>
    </w:p>
    <w:p>
      <w:r>
        <w:drawing>
          <wp:inline xmlns:a="http://schemas.openxmlformats.org/drawingml/2006/main" xmlns:pic="http://schemas.openxmlformats.org/drawingml/2006/picture">
            <wp:extent cx="621792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cope1_scope2_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2. Scope 2 (location-based) evolution</w:t>
      </w:r>
    </w:p>
    <w:p>
      <w:r>
        <w:drawing>
          <wp:inline xmlns:a="http://schemas.openxmlformats.org/drawingml/2006/main" xmlns:pic="http://schemas.openxmlformats.org/drawingml/2006/picture">
            <wp:extent cx="6217920" cy="3511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cope2_lo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3. SDG disclosure-intensity trend (2009-2025)</w:t>
      </w:r>
    </w:p>
    <w:p>
      <w:r>
        <w:drawing>
          <wp:inline xmlns:a="http://schemas.openxmlformats.org/drawingml/2006/main" xmlns:pic="http://schemas.openxmlformats.org/drawingml/2006/picture">
            <wp:extent cx="621792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dg_men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4. Indexed emissions animation insert (GIF)</w:t>
      </w:r>
    </w:p>
    <w:p>
      <w:r>
        <w:drawing>
          <wp:inline xmlns:a="http://schemas.openxmlformats.org/drawingml/2006/main" xmlns:pic="http://schemas.openxmlformats.org/drawingml/2006/picture">
            <wp:extent cx="6217920" cy="26115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ed_evolution_animation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11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Animation note: GIF playback depends on Word version/view mode; in non-animated mode it remains a static key frame.</w:t>
      </w:r>
    </w:p>
    <w:p>
      <w:pPr>
        <w:pStyle w:val="Heading1"/>
      </w:pPr>
      <w:r>
        <w:t>SDGs Touched: Actions by 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SDG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Action executed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SDG 2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5G precision agriculture positioning solution</w:t>
            </w:r>
          </w:p>
        </w:tc>
        <w:tc>
          <w:tcPr>
            <w:tcW w:type="dxa" w:w="2160"/>
          </w:tcPr>
          <w:p>
            <w:r>
              <w:t>Higher yield precision, optimized fertilizer/seeds, indirect contribution to zero hunger</w:t>
            </w:r>
          </w:p>
        </w:tc>
      </w:tr>
      <w:tr>
        <w:tc>
          <w:tcPr>
            <w:tcW w:type="dxa" w:w="2160"/>
          </w:tcPr>
          <w:p>
            <w:r>
              <w:t>SDG 3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Remote maintenance and mobility solutions</w:t>
            </w:r>
          </w:p>
        </w:tc>
        <w:tc>
          <w:tcPr>
            <w:tcW w:type="dxa" w:w="2160"/>
          </w:tcPr>
          <w:p>
            <w:r>
              <w:t>Lower transport-related pollution and health co-benefits</w:t>
            </w:r>
          </w:p>
        </w:tc>
      </w:tr>
      <w:tr>
        <w:tc>
          <w:tcPr>
            <w:tcW w:type="dxa" w:w="2160"/>
          </w:tcPr>
          <w:p>
            <w:r>
              <w:t>SDG 4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Teachtoday and AwareNessi cyber-literacy content</w:t>
            </w:r>
          </w:p>
        </w:tc>
        <w:tc>
          <w:tcPr>
            <w:tcW w:type="dxa" w:w="2160"/>
          </w:tcPr>
          <w:p>
            <w:r>
              <w:t>Improved safe and competent digital use for children/families</w:t>
            </w:r>
          </w:p>
        </w:tc>
      </w:tr>
      <w:tr>
        <w:tc>
          <w:tcPr>
            <w:tcW w:type="dxa" w:w="2160"/>
          </w:tcPr>
          <w:p>
            <w:r>
              <w:t>SDG 5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Gender-neutral educational design in AwareNessi</w:t>
            </w:r>
          </w:p>
        </w:tc>
        <w:tc>
          <w:tcPr>
            <w:tcW w:type="dxa" w:w="2160"/>
          </w:tcPr>
          <w:p>
            <w:r>
              <w:t>Inclusive representation and communication practices</w:t>
            </w:r>
          </w:p>
        </w:tc>
      </w:tr>
      <w:tr>
        <w:tc>
          <w:tcPr>
            <w:tcW w:type="dxa" w:w="2160"/>
          </w:tcPr>
          <w:p>
            <w:r>
              <w:t>SDG 6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Soy-ink sustainable packaging use case</w:t>
            </w:r>
          </w:p>
        </w:tc>
        <w:tc>
          <w:tcPr>
            <w:tcW w:type="dxa" w:w="2160"/>
          </w:tcPr>
          <w:p>
            <w:r>
              <w:t>Reduced environmentally harmful chemicals in packaging</w:t>
            </w:r>
          </w:p>
        </w:tc>
      </w:tr>
      <w:tr>
        <w:tc>
          <w:tcPr>
            <w:tcW w:type="dxa" w:w="2160"/>
          </w:tcPr>
          <w:p>
            <w:r>
              <w:t>SDG 7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100% renewable electricity sourcing</w:t>
            </w:r>
          </w:p>
        </w:tc>
        <w:tc>
          <w:tcPr>
            <w:tcW w:type="dxa" w:w="2160"/>
          </w:tcPr>
          <w:p>
            <w:r>
              <w:t>Major Scope 2 market-based decarbonization lever</w:t>
            </w:r>
          </w:p>
        </w:tc>
      </w:tr>
      <w:tr>
        <w:tc>
          <w:tcPr>
            <w:tcW w:type="dxa" w:w="2160"/>
          </w:tcPr>
          <w:p>
            <w:r>
              <w:t>SDG 8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AR service productivity and digital process efficiency</w:t>
            </w:r>
          </w:p>
        </w:tc>
        <w:tc>
          <w:tcPr>
            <w:tcW w:type="dxa" w:w="2160"/>
          </w:tcPr>
          <w:p>
            <w:r>
              <w:t>Higher productivity and better employee work conditions</w:t>
            </w:r>
          </w:p>
        </w:tc>
      </w:tr>
      <w:tr>
        <w:tc>
          <w:tcPr>
            <w:tcW w:type="dxa" w:w="2160"/>
          </w:tcPr>
          <w:p>
            <w:r>
              <w:t>SDG 9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Device-as-a-Service and digital service tools</w:t>
            </w:r>
          </w:p>
        </w:tc>
        <w:tc>
          <w:tcPr>
            <w:tcW w:type="dxa" w:w="2160"/>
          </w:tcPr>
          <w:p>
            <w:r>
              <w:t>Resource-efficient device lifecycle and infrastructure innovation</w:t>
            </w:r>
          </w:p>
        </w:tc>
      </w:tr>
      <w:tr>
        <w:tc>
          <w:tcPr>
            <w:tcW w:type="dxa" w:w="2160"/>
          </w:tcPr>
          <w:p>
            <w:r>
              <w:t>SDG 10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Inclusive multilingual educational access</w:t>
            </w:r>
          </w:p>
        </w:tc>
        <w:tc>
          <w:tcPr>
            <w:tcW w:type="dxa" w:w="2160"/>
          </w:tcPr>
          <w:p>
            <w:r>
              <w:t>Broader inclusion across user groups and languages</w:t>
            </w:r>
          </w:p>
        </w:tc>
      </w:tr>
      <w:tr>
        <w:tc>
          <w:tcPr>
            <w:tcW w:type="dxa" w:w="2160"/>
          </w:tcPr>
          <w:p>
            <w:r>
              <w:t>SDG 11</w:t>
            </w:r>
          </w:p>
        </w:tc>
        <w:tc>
          <w:tcPr>
            <w:tcW w:type="dxa" w:w="2160"/>
          </w:tcPr>
          <w:p>
            <w:r>
              <w:t>2022-2025</w:t>
            </w:r>
          </w:p>
        </w:tc>
        <w:tc>
          <w:tcPr>
            <w:tcW w:type="dxa" w:w="2160"/>
          </w:tcPr>
          <w:p>
            <w:r>
              <w:t>Remote maintenance, A-CDM, digital society programs</w:t>
            </w:r>
          </w:p>
        </w:tc>
        <w:tc>
          <w:tcPr>
            <w:tcW w:type="dxa" w:w="2160"/>
          </w:tcPr>
          <w:p>
            <w:r>
              <w:t>Lower urban emissions and wider digital participation (40m reached in 2025)</w:t>
            </w:r>
          </w:p>
        </w:tc>
      </w:tr>
      <w:tr>
        <w:tc>
          <w:tcPr>
            <w:tcW w:type="dxa" w:w="2160"/>
          </w:tcPr>
          <w:p>
            <w:r>
              <w:t>SDG 12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Device-as-a-Service (&gt;97% refurbishment)</w:t>
            </w:r>
          </w:p>
        </w:tc>
        <w:tc>
          <w:tcPr>
            <w:tcW w:type="dxa" w:w="2160"/>
          </w:tcPr>
          <w:p>
            <w:r>
              <w:t>Longer product life and reduced material throughput</w:t>
            </w:r>
          </w:p>
        </w:tc>
      </w:tr>
      <w:tr>
        <w:tc>
          <w:tcPr>
            <w:tcW w:type="dxa" w:w="2160"/>
          </w:tcPr>
          <w:p>
            <w:r>
              <w:t>SDG 13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Net zero in own operations (Scope 1+2)</w:t>
            </w:r>
          </w:p>
        </w:tc>
        <w:tc>
          <w:tcPr>
            <w:tcW w:type="dxa" w:w="2160"/>
          </w:tcPr>
          <w:p>
            <w:r>
              <w:t>&gt;94% reduction vs 2017 plus residual neutralization</w:t>
            </w:r>
          </w:p>
        </w:tc>
      </w:tr>
      <w:tr>
        <w:tc>
          <w:tcPr>
            <w:tcW w:type="dxa" w:w="2160"/>
          </w:tcPr>
          <w:p>
            <w:r>
              <w:t>SDG 15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Reforestation/removal projects for residuals</w:t>
            </w:r>
          </w:p>
        </w:tc>
        <w:tc>
          <w:tcPr>
            <w:tcW w:type="dxa" w:w="2160"/>
          </w:tcPr>
          <w:p>
            <w:r>
              <w:t>Land-based sequestration and ecosystem co-benefits</w:t>
            </w:r>
          </w:p>
        </w:tc>
      </w:tr>
      <w:tr>
        <w:tc>
          <w:tcPr>
            <w:tcW w:type="dxa" w:w="2160"/>
          </w:tcPr>
          <w:p>
            <w:r>
              <w:t>SDG 16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Digital safety and human-rights process strengthening</w:t>
            </w:r>
          </w:p>
        </w:tc>
        <w:tc>
          <w:tcPr>
            <w:tcW w:type="dxa" w:w="2160"/>
          </w:tcPr>
          <w:p>
            <w:r>
              <w:t>Better institutional safeguards and responsible digital behavior</w:t>
            </w:r>
          </w:p>
        </w:tc>
      </w:tr>
      <w:tr>
        <w:tc>
          <w:tcPr>
            <w:tcW w:type="dxa" w:w="2160"/>
          </w:tcPr>
          <w:p>
            <w:r>
              <w:t>SDG 17</w:t>
            </w:r>
          </w:p>
        </w:tc>
        <w:tc>
          <w:tcPr>
            <w:tcW w:type="dxa" w:w="2160"/>
          </w:tcPr>
          <w:p>
            <w:r>
              <w:t>2022-2023</w:t>
            </w:r>
          </w:p>
        </w:tc>
        <w:tc>
          <w:tcPr>
            <w:tcW w:type="dxa" w:w="2160"/>
          </w:tcPr>
          <w:p>
            <w:r>
              <w:t>Partnerships (everphone, airport ecosystem, collaborations)</w:t>
            </w:r>
          </w:p>
        </w:tc>
        <w:tc>
          <w:tcPr>
            <w:tcW w:type="dxa" w:w="2160"/>
          </w:tcPr>
          <w:p>
            <w:r>
              <w:t>Faster scaling of sustainability solutions</w:t>
            </w:r>
          </w:p>
        </w:tc>
      </w:tr>
    </w:tbl>
    <w:p>
      <w:r>
        <w:t>Reporting note: 2023 CR program explicitly focuses on SDGs 2, 3, 4, 5, 7, 8, 9, 11, 12, 13, 15, 16 and includes structured Measures and KPIs relevant to SDGs.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Make Scope 3 a growth and margin lever through supplier and customer decarbonization solutions.</w:t>
      </w:r>
    </w:p>
    <w:p>
      <w:pPr>
        <w:pStyle w:val="ListBullet"/>
      </w:pPr>
      <w:r>
        <w:t>Build an ESG-finance-risk control tower for capital allocation decisions.</w:t>
      </w:r>
    </w:p>
    <w:p>
      <w:pPr>
        <w:pStyle w:val="ListBullet"/>
      </w:pPr>
      <w:r>
        <w:t>Increase weighting of forward-looking transition KPIs in incentives.</w:t>
      </w:r>
    </w:p>
    <w:p>
      <w:pPr>
        <w:pStyle w:val="ListBullet"/>
      </w:pPr>
      <w:r>
        <w:t>Scale circularity with explicit unit economics by category.</w:t>
      </w:r>
    </w:p>
    <w:p>
      <w:pPr>
        <w:pStyle w:val="ListBullet"/>
      </w:pPr>
      <w:r>
        <w:t>Embed climate resilience standards in network capex decisions.</w:t>
      </w:r>
    </w:p>
    <w:p>
      <w:pPr>
        <w:pStyle w:val="Heading1"/>
      </w:pPr>
      <w:r>
        <w:t>Sources</w:t>
      </w:r>
    </w:p>
    <w:p>
      <w:pPr>
        <w:pStyle w:val="ListBullet"/>
      </w:pPr>
      <w:r>
        <w:t>Deutsche Telekom CR Report 2025 (scope, segments, milestones, GSMA indicators)</w:t>
      </w:r>
    </w:p>
    <w:p>
      <w:pPr>
        <w:pStyle w:val="ListBullet"/>
      </w:pPr>
      <w:r>
        <w:t>Deutsche Telekom CR Report 2024 (historical climate tables)</w:t>
      </w:r>
    </w:p>
    <w:p>
      <w:pPr>
        <w:pStyle w:val="ListBullet"/>
      </w:pPr>
      <w:r>
        <w:t>Deutsche Telekom CR Reports 2022 and 2023 (SDG use cases and SDG focus list)</w:t>
      </w:r>
    </w:p>
    <w:p>
      <w:pPr>
        <w:pStyle w:val="ListBullet"/>
      </w:pPr>
      <w:r>
        <w:t>Public company profile references (employee scale cross-check)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