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ind w:left="720" w:firstLine="0"/>
        <w:jc w:val="center"/>
        <w:rPr>
          <w:b w:val="1"/>
          <w:bCs w:val="1"/>
          <w:sz w:val="46"/>
          <w:szCs w:val="46"/>
        </w:rPr>
      </w:pPr>
      <w:bookmarkStart w:colFirst="0" w:colLast="0" w:name="_whjk5dohs3o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MINISTRY OF DIGITAL ECONOMY AND ENTREPRENEURSHIP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ind w:left="720" w:firstLine="0"/>
        <w:jc w:val="center"/>
        <w:rPr>
          <w:b w:val="1"/>
          <w:bCs w:val="1"/>
          <w:sz w:val="34"/>
          <w:szCs w:val="34"/>
        </w:rPr>
      </w:pPr>
      <w:bookmarkStart w:colFirst="0" w:colLast="0" w:name="_goh72ahanvc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DIRECTORATE – TECHNICAL REPORT</w:t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Advanced Clustering Framework for National Citizen Segmentation</w:t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AI Engineer</w:t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Engineer:</w:t>
      </w:r>
      <w:r w:rsidDel="00000000" w:rsidR="00000000" w:rsidRPr="00000000">
        <w:rPr>
          <w:rtl w:val="0"/>
        </w:rPr>
        <w:t xml:space="preserve"> Hamza Medhat Alawneh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ind w:left="720" w:firstLine="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osexdrpzg1k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This report presents a robust machine learning framework designed to segment the national population into four strategic clusters based on socio-economic indicators (Income, Education, Occupation, etc.). By utilizing high-performance computing techniques, we provide the Ministry with data-driven insights to optimize resource distribution and service personalization.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ind w:left="720" w:firstLine="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hr10b67jcpc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Technical Methodology (STAR Framework)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  <w:t xml:space="preserve"> The raw dataset contained high-dimensional features with significant scale disparities (e.g., Age vs. Income).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Engineer a clustering pipeline that ensures mathematical fairness and identifies distinct social personas.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* Conducted a rigorous data audit to ensure zero nulls and duplicates.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Executed Feature Scaling using Z-score normalization (StandardScaler).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K-Means algorithm from scratch</w:t>
      </w:r>
      <w:r w:rsidDel="00000000" w:rsidR="00000000" w:rsidRPr="00000000">
        <w:rPr>
          <w:rtl w:val="0"/>
        </w:rPr>
        <w:t xml:space="preserve"> to ensure full transparency of the convergence logic.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Gaussian Mixture Models (GMM)</w:t>
      </w:r>
      <w:r w:rsidDel="00000000" w:rsidR="00000000" w:rsidRPr="00000000">
        <w:rPr>
          <w:rtl w:val="0"/>
        </w:rPr>
        <w:t xml:space="preserve"> as a probabilistic benchmark.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Achieved clear cluster separation with a verified Silhouette Score, providing a scalable model for national-level deployment.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ind w:left="720" w:firstLine="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a9k7pprgf7j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Integrity &amp; Preprocessing</w:t>
      </w:r>
    </w:p>
    <w:p w:rsidR="00000000" w:rsidDel="00000000" w:rsidP="00000000" w:rsidRDefault="00000000" w:rsidRPr="00000000" w14:paraId="00000011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Before model deployment, a rigorous data audit was conducted. We verified that the dataset contained zero null values and no duplicate records. The </w:t>
      </w:r>
      <w:r w:rsidDel="00000000" w:rsidR="00000000" w:rsidRPr="00000000">
        <w:rPr>
          <w:b w:val="1"/>
          <w:bCs w:val="1"/>
          <w:rtl w:val="0"/>
        </w:rPr>
        <w:t xml:space="preserve">'ID'</w:t>
      </w:r>
      <w:r w:rsidDel="00000000" w:rsidR="00000000" w:rsidRPr="00000000">
        <w:rPr>
          <w:rtl w:val="0"/>
        </w:rPr>
        <w:t xml:space="preserve"> column was programmatically excluded to prevent the model from learning noise. Finally, </w:t>
      </w:r>
      <w:r w:rsidDel="00000000" w:rsidR="00000000" w:rsidRPr="00000000">
        <w:rPr>
          <w:b w:val="1"/>
          <w:bCs w:val="1"/>
          <w:rtl w:val="0"/>
        </w:rPr>
        <w:t xml:space="preserve">Z-score normalization</w:t>
      </w:r>
      <w:r w:rsidDel="00000000" w:rsidR="00000000" w:rsidRPr="00000000">
        <w:rPr>
          <w:rtl w:val="0"/>
        </w:rPr>
        <w:t xml:space="preserve"> was applied to handle the variance between 'Income' and 'Age', ensuring that the K-Means distance metrics are mathematically unbiased and treat all socio-economic traits with equal weight.</w:t>
      </w:r>
    </w:p>
    <w:p w:rsidR="00000000" w:rsidDel="00000000" w:rsidP="00000000" w:rsidRDefault="00000000" w:rsidRPr="00000000" w14:paraId="00000012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ind w:left="720" w:firstLine="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ah2k5g5k8en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Algorithmic Complexity Analysis</w:t>
      </w:r>
    </w:p>
    <w:p w:rsidR="00000000" w:rsidDel="00000000" w:rsidP="00000000" w:rsidRDefault="00000000" w:rsidRPr="00000000" w14:paraId="00000016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To ensure the system is production-ready, a complexity audit was performed:</w:t>
      </w:r>
    </w:p>
    <w:p w:rsidR="00000000" w:rsidDel="00000000" w:rsidP="00000000" w:rsidRDefault="00000000" w:rsidRPr="00000000" w14:paraId="00000017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K-Means (Scratch Implementation)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$O(I \cdot K \cdot N \cdot D)$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Our implementation uses </w:t>
      </w:r>
      <w:r w:rsidDel="00000000" w:rsidR="00000000" w:rsidRPr="00000000">
        <w:rPr>
          <w:b w:val="1"/>
          <w:bCs w:val="1"/>
          <w:rtl w:val="0"/>
        </w:rPr>
        <w:t xml:space="preserve">Matrix Vectorization</w:t>
      </w:r>
      <w:r w:rsidDel="00000000" w:rsidR="00000000" w:rsidRPr="00000000">
        <w:rPr>
          <w:rtl w:val="0"/>
        </w:rPr>
        <w:t xml:space="preserve">, replacing Python loops with C-level memory operations to ensure rapid convergence.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$O((N+K) \cdot D)$ (Extremely memory-efficient).</w:t>
      </w:r>
    </w:p>
    <w:p w:rsidR="00000000" w:rsidDel="00000000" w:rsidP="00000000" w:rsidRDefault="00000000" w:rsidRPr="00000000" w14:paraId="0000001B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Gaussian Mixture Model (GMM)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$O(I \cdot K \cdot N \cdot D^3)$ (More computationally expensive due to Covariance Matrix calculations).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$O(K \cdot D^2 + N \cdot K)$ (Higher memory footprint).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ind w:left="720" w:firstLine="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6a3dwzhoip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Engineering Logic &amp; Feature Impact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The success of the model relied heavily on the Standardization phase. In raw data, "Income" would dominate "Age" in Euclidean space. By transforming data to a mean of 0 and standard deviation of 1, we ensured that a 5-year age gap carries the same mathematical weight as its relative income counterpart. Using </w:t>
      </w:r>
      <w:r w:rsidDel="00000000" w:rsidR="00000000" w:rsidRPr="00000000">
        <w:rPr>
          <w:b w:val="1"/>
          <w:bCs w:val="1"/>
          <w:rtl w:val="0"/>
        </w:rPr>
        <w:t xml:space="preserve">Principal Component Analysis (PCA)</w:t>
      </w:r>
      <w:r w:rsidDel="00000000" w:rsidR="00000000" w:rsidRPr="00000000">
        <w:rPr>
          <w:rtl w:val="0"/>
        </w:rPr>
        <w:t xml:space="preserve">, we transformed the 7-dimensional space into 2 orthogonal components for optimal visualization.</w:t>
      </w:r>
    </w:p>
    <w:p w:rsidR="00000000" w:rsidDel="00000000" w:rsidP="00000000" w:rsidRDefault="00000000" w:rsidRPr="00000000" w14:paraId="00000022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ind w:left="720" w:firstLine="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eswaf3pfvcl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Final Recommendation &amp; Performance Analysis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Engineering Recommendation:</w:t>
      </w:r>
    </w:p>
    <w:p w:rsidR="00000000" w:rsidDel="00000000" w:rsidP="00000000" w:rsidRDefault="00000000" w:rsidRPr="00000000" w14:paraId="00000026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K-Means is the superior model for this dataset as evidenced by a </w:t>
      </w:r>
      <w:r w:rsidDel="00000000" w:rsidR="00000000" w:rsidRPr="00000000">
        <w:rPr>
          <w:b w:val="1"/>
          <w:bCs w:val="1"/>
          <w:rtl w:val="0"/>
        </w:rPr>
        <w:t xml:space="preserve">Silhouette Score of 0.255</w:t>
      </w:r>
      <w:r w:rsidDel="00000000" w:rsidR="00000000" w:rsidRPr="00000000">
        <w:rPr>
          <w:rtl w:val="0"/>
        </w:rPr>
        <w:t xml:space="preserve">, indicating higher group cohesion and better distinctness between citizen segments compared to the GMM approach (0.197).</w:t>
      </w:r>
    </w:p>
    <w:p w:rsidR="00000000" w:rsidDel="00000000" w:rsidP="00000000" w:rsidRDefault="00000000" w:rsidRPr="00000000" w14:paraId="00000027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Actionable Personas: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0 (Well-off / Urban):</w:t>
      </w:r>
      <w:r w:rsidDel="00000000" w:rsidR="00000000" w:rsidRPr="00000000">
        <w:rPr>
          <w:rtl w:val="0"/>
        </w:rPr>
        <w:t xml:space="preserve"> High-income, highly qualified professionals living in large cities.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1 (Standard / Mid-Income):</w:t>
      </w:r>
      <w:r w:rsidDel="00000000" w:rsidR="00000000" w:rsidRPr="00000000">
        <w:rPr>
          <w:rtl w:val="0"/>
        </w:rPr>
        <w:t xml:space="preserve"> Middle-aged individuals with average income and skilled work backgrounds.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2 (Fewer Opportunities):</w:t>
      </w:r>
      <w:r w:rsidDel="00000000" w:rsidR="00000000" w:rsidRPr="00000000">
        <w:rPr>
          <w:rtl w:val="0"/>
        </w:rPr>
        <w:t xml:space="preserve"> Younger individuals, often single, with lower income and limited qualifications.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3 (Career-Focused / Career-Starters):</w:t>
      </w:r>
      <w:r w:rsidDel="00000000" w:rsidR="00000000" w:rsidRPr="00000000">
        <w:rPr>
          <w:rtl w:val="0"/>
        </w:rPr>
        <w:t xml:space="preserve"> Younger professionals in mid-sized cities with high growth potential.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ind w:left="720" w:firstLine="0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