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AB86E6" w14:textId="734289F6" w:rsidR="00054287" w:rsidRPr="006849C3" w:rsidRDefault="00F96798" w:rsidP="00882002">
      <w:pPr>
        <w:jc w:val="center"/>
        <w:rPr>
          <w:rFonts w:asciiTheme="majorHAnsi" w:hAnsiTheme="majorHAnsi" w:cstheme="majorHAnsi"/>
          <w:u w:val="single"/>
        </w:rPr>
      </w:pPr>
      <w:bookmarkStart w:id="0" w:name="_GoBack"/>
      <w:bookmarkEnd w:id="0"/>
      <w:r w:rsidRPr="006849C3">
        <w:rPr>
          <w:rFonts w:asciiTheme="majorHAnsi" w:hAnsiTheme="majorHAnsi" w:cstheme="majorHAnsi"/>
          <w:b/>
          <w:u w:val="single"/>
        </w:rPr>
        <w:t>Th</w:t>
      </w:r>
      <w:r w:rsidR="00356963" w:rsidRPr="006849C3">
        <w:rPr>
          <w:rFonts w:asciiTheme="majorHAnsi" w:hAnsiTheme="majorHAnsi" w:cstheme="majorHAnsi"/>
          <w:b/>
          <w:u w:val="single"/>
        </w:rPr>
        <w:t>e Link Between Income Inequality and</w:t>
      </w:r>
      <w:r w:rsidRPr="006849C3">
        <w:rPr>
          <w:rFonts w:asciiTheme="majorHAnsi" w:hAnsiTheme="majorHAnsi" w:cstheme="majorHAnsi"/>
          <w:b/>
          <w:u w:val="single"/>
        </w:rPr>
        <w:t xml:space="preserve"> </w:t>
      </w:r>
      <w:r w:rsidR="00402EAC" w:rsidRPr="006849C3">
        <w:rPr>
          <w:rFonts w:asciiTheme="majorHAnsi" w:hAnsiTheme="majorHAnsi" w:cstheme="majorHAnsi"/>
          <w:b/>
          <w:u w:val="single"/>
        </w:rPr>
        <w:t>Consumer Expenditure</w:t>
      </w:r>
      <w:r w:rsidR="0061547D" w:rsidRPr="006849C3">
        <w:rPr>
          <w:rFonts w:asciiTheme="majorHAnsi" w:hAnsiTheme="majorHAnsi" w:cstheme="majorHAnsi"/>
          <w:b/>
          <w:u w:val="single"/>
        </w:rPr>
        <w:t xml:space="preserve"> And How It Influences</w:t>
      </w:r>
      <w:r w:rsidRPr="006849C3">
        <w:rPr>
          <w:rFonts w:asciiTheme="majorHAnsi" w:hAnsiTheme="majorHAnsi" w:cstheme="majorHAnsi"/>
          <w:b/>
          <w:u w:val="single"/>
        </w:rPr>
        <w:t xml:space="preserve"> Economic Growth?</w:t>
      </w:r>
    </w:p>
    <w:p w14:paraId="1462EDA4" w14:textId="77777777" w:rsidR="00402EAC" w:rsidRPr="006849C3" w:rsidRDefault="00402EAC">
      <w:pPr>
        <w:rPr>
          <w:rFonts w:asciiTheme="majorHAnsi" w:hAnsiTheme="majorHAnsi" w:cstheme="majorHAnsi"/>
        </w:rPr>
      </w:pPr>
    </w:p>
    <w:p w14:paraId="423BE084" w14:textId="77777777" w:rsidR="00402EAC" w:rsidRPr="006849C3" w:rsidRDefault="00402EAC">
      <w:pPr>
        <w:rPr>
          <w:rFonts w:asciiTheme="majorHAnsi" w:hAnsiTheme="majorHAnsi" w:cstheme="majorHAnsi"/>
          <w:b/>
          <w:sz w:val="22"/>
          <w:u w:val="single"/>
        </w:rPr>
      </w:pPr>
      <w:r w:rsidRPr="006849C3">
        <w:rPr>
          <w:rFonts w:asciiTheme="majorHAnsi" w:hAnsiTheme="majorHAnsi" w:cstheme="majorHAnsi"/>
          <w:b/>
          <w:sz w:val="22"/>
          <w:u w:val="single"/>
        </w:rPr>
        <w:t>Introduction</w:t>
      </w:r>
    </w:p>
    <w:p w14:paraId="7F450AB2" w14:textId="77777777" w:rsidR="00882002" w:rsidRPr="006849C3" w:rsidRDefault="00882002">
      <w:pPr>
        <w:rPr>
          <w:rFonts w:asciiTheme="majorHAnsi" w:hAnsiTheme="majorHAnsi" w:cstheme="majorHAnsi"/>
          <w:sz w:val="22"/>
        </w:rPr>
      </w:pPr>
    </w:p>
    <w:p w14:paraId="258AA0AF" w14:textId="30DDAACD" w:rsidR="00402EAC" w:rsidRPr="006849C3" w:rsidRDefault="00D44141">
      <w:pPr>
        <w:rPr>
          <w:rFonts w:asciiTheme="majorHAnsi" w:hAnsiTheme="majorHAnsi" w:cstheme="majorHAnsi"/>
          <w:b/>
          <w:sz w:val="22"/>
        </w:rPr>
      </w:pPr>
      <w:r w:rsidRPr="006849C3">
        <w:rPr>
          <w:rFonts w:asciiTheme="majorHAnsi" w:hAnsiTheme="majorHAnsi" w:cstheme="majorHAnsi"/>
          <w:sz w:val="22"/>
        </w:rPr>
        <w:t>Economic growth can stem from growth in aggregate demand (Tambunan, 2011)</w:t>
      </w:r>
      <w:r w:rsidR="0038560F" w:rsidRPr="006849C3">
        <w:rPr>
          <w:rFonts w:asciiTheme="majorHAnsi" w:hAnsiTheme="majorHAnsi" w:cstheme="majorHAnsi"/>
          <w:sz w:val="22"/>
        </w:rPr>
        <w:t xml:space="preserve">. </w:t>
      </w:r>
      <w:r w:rsidR="004658AD" w:rsidRPr="006849C3">
        <w:rPr>
          <w:rFonts w:asciiTheme="majorHAnsi" w:hAnsiTheme="majorHAnsi" w:cstheme="majorHAnsi"/>
          <w:sz w:val="22"/>
        </w:rPr>
        <w:t>A component of aggregate demand is consumer expenditure</w:t>
      </w:r>
      <w:r w:rsidR="001410B5" w:rsidRPr="006849C3">
        <w:rPr>
          <w:rFonts w:asciiTheme="majorHAnsi" w:hAnsiTheme="majorHAnsi" w:cstheme="majorHAnsi"/>
          <w:sz w:val="22"/>
        </w:rPr>
        <w:t>. The share of consumption of</w:t>
      </w:r>
      <w:r w:rsidRPr="006849C3">
        <w:rPr>
          <w:rFonts w:asciiTheme="majorHAnsi" w:hAnsiTheme="majorHAnsi" w:cstheme="majorHAnsi"/>
          <w:sz w:val="22"/>
        </w:rPr>
        <w:t xml:space="preserve"> Gross-Domestic Product </w:t>
      </w:r>
      <w:r w:rsidR="00D003D5" w:rsidRPr="006849C3">
        <w:rPr>
          <w:rFonts w:asciiTheme="majorHAnsi" w:hAnsiTheme="majorHAnsi" w:cstheme="majorHAnsi"/>
          <w:sz w:val="22"/>
        </w:rPr>
        <w:t xml:space="preserve">(GDP) </w:t>
      </w:r>
      <w:r w:rsidRPr="006849C3">
        <w:rPr>
          <w:rFonts w:asciiTheme="majorHAnsi" w:hAnsiTheme="majorHAnsi" w:cstheme="majorHAnsi"/>
          <w:sz w:val="22"/>
        </w:rPr>
        <w:t>ranges from 70% to 75% in developing cou</w:t>
      </w:r>
      <w:r w:rsidR="004658AD" w:rsidRPr="006849C3">
        <w:rPr>
          <w:rFonts w:asciiTheme="majorHAnsi" w:hAnsiTheme="majorHAnsi" w:cstheme="majorHAnsi"/>
          <w:sz w:val="22"/>
        </w:rPr>
        <w:t>ntries</w:t>
      </w:r>
      <w:r w:rsidR="001410B5" w:rsidRPr="006849C3">
        <w:rPr>
          <w:rFonts w:asciiTheme="majorHAnsi" w:hAnsiTheme="majorHAnsi" w:cstheme="majorHAnsi"/>
          <w:sz w:val="22"/>
        </w:rPr>
        <w:t xml:space="preserve"> (P. K. Mishra, 2011)</w:t>
      </w:r>
      <w:r w:rsidR="0038560F" w:rsidRPr="006849C3">
        <w:rPr>
          <w:rFonts w:asciiTheme="majorHAnsi" w:hAnsiTheme="majorHAnsi" w:cstheme="majorHAnsi"/>
          <w:sz w:val="22"/>
        </w:rPr>
        <w:t xml:space="preserve">. </w:t>
      </w:r>
      <w:r w:rsidR="000416D9" w:rsidRPr="006849C3">
        <w:rPr>
          <w:rFonts w:asciiTheme="majorHAnsi" w:hAnsiTheme="majorHAnsi" w:cstheme="majorHAnsi"/>
          <w:sz w:val="22"/>
        </w:rPr>
        <w:t>Therefore we</w:t>
      </w:r>
      <w:r w:rsidR="00D003D5" w:rsidRPr="006849C3">
        <w:rPr>
          <w:rFonts w:asciiTheme="majorHAnsi" w:hAnsiTheme="majorHAnsi" w:cstheme="majorHAnsi"/>
          <w:sz w:val="22"/>
        </w:rPr>
        <w:t xml:space="preserve"> can conclud</w:t>
      </w:r>
      <w:r w:rsidR="00E83C35" w:rsidRPr="006849C3">
        <w:rPr>
          <w:rFonts w:asciiTheme="majorHAnsi" w:hAnsiTheme="majorHAnsi" w:cstheme="majorHAnsi"/>
          <w:sz w:val="22"/>
        </w:rPr>
        <w:t xml:space="preserve">e that consumer expenditure is a mediating factor to </w:t>
      </w:r>
      <w:r w:rsidR="00D003D5" w:rsidRPr="006849C3">
        <w:rPr>
          <w:rFonts w:asciiTheme="majorHAnsi" w:hAnsiTheme="majorHAnsi" w:cstheme="majorHAnsi"/>
          <w:sz w:val="22"/>
        </w:rPr>
        <w:t>economic growth. Thus</w:t>
      </w:r>
      <w:r w:rsidR="004976CC">
        <w:rPr>
          <w:rFonts w:asciiTheme="majorHAnsi" w:hAnsiTheme="majorHAnsi" w:cstheme="majorHAnsi"/>
          <w:sz w:val="22"/>
        </w:rPr>
        <w:t>,</w:t>
      </w:r>
      <w:r w:rsidR="00D003D5" w:rsidRPr="006849C3">
        <w:rPr>
          <w:rFonts w:asciiTheme="majorHAnsi" w:hAnsiTheme="majorHAnsi" w:cstheme="majorHAnsi"/>
          <w:sz w:val="22"/>
        </w:rPr>
        <w:t xml:space="preserve"> if consu</w:t>
      </w:r>
      <w:r w:rsidR="004976CC">
        <w:rPr>
          <w:rFonts w:asciiTheme="majorHAnsi" w:hAnsiTheme="majorHAnsi" w:cstheme="majorHAnsi"/>
          <w:sz w:val="22"/>
        </w:rPr>
        <w:t xml:space="preserve">mer expenditure increases, aggregate demand increases, </w:t>
      </w:r>
      <w:r w:rsidR="00D003D5" w:rsidRPr="006849C3">
        <w:rPr>
          <w:rFonts w:asciiTheme="majorHAnsi" w:hAnsiTheme="majorHAnsi" w:cstheme="majorHAnsi"/>
          <w:sz w:val="22"/>
        </w:rPr>
        <w:t>inc</w:t>
      </w:r>
      <w:r w:rsidR="004976CC">
        <w:rPr>
          <w:rFonts w:asciiTheme="majorHAnsi" w:hAnsiTheme="majorHAnsi" w:cstheme="majorHAnsi"/>
          <w:sz w:val="22"/>
        </w:rPr>
        <w:t xml:space="preserve">reasing </w:t>
      </w:r>
      <w:r w:rsidR="005F351C" w:rsidRPr="006849C3">
        <w:rPr>
          <w:rFonts w:asciiTheme="majorHAnsi" w:hAnsiTheme="majorHAnsi" w:cstheme="majorHAnsi"/>
          <w:sz w:val="22"/>
        </w:rPr>
        <w:t>GDP</w:t>
      </w:r>
      <w:r w:rsidR="00D003D5" w:rsidRPr="006849C3">
        <w:rPr>
          <w:rFonts w:asciiTheme="majorHAnsi" w:hAnsiTheme="majorHAnsi" w:cstheme="majorHAnsi"/>
          <w:sz w:val="22"/>
        </w:rPr>
        <w:t>.</w:t>
      </w:r>
      <w:r w:rsidR="000B2D7F" w:rsidRPr="006849C3">
        <w:rPr>
          <w:rFonts w:asciiTheme="majorHAnsi" w:hAnsiTheme="majorHAnsi" w:cstheme="majorHAnsi"/>
          <w:sz w:val="22"/>
        </w:rPr>
        <w:t xml:space="preserve"> </w:t>
      </w:r>
      <w:r w:rsidR="00BE2995" w:rsidRPr="006849C3">
        <w:rPr>
          <w:rFonts w:asciiTheme="majorHAnsi" w:hAnsiTheme="majorHAnsi" w:cstheme="majorHAnsi"/>
          <w:sz w:val="22"/>
        </w:rPr>
        <w:t>Lower-income countr</w:t>
      </w:r>
      <w:r w:rsidR="004976CC">
        <w:rPr>
          <w:rFonts w:asciiTheme="majorHAnsi" w:hAnsiTheme="majorHAnsi" w:cstheme="majorHAnsi"/>
          <w:sz w:val="22"/>
        </w:rPr>
        <w:t>ies’</w:t>
      </w:r>
      <w:r w:rsidR="00BE2995" w:rsidRPr="006849C3">
        <w:rPr>
          <w:rFonts w:asciiTheme="majorHAnsi" w:hAnsiTheme="majorHAnsi" w:cstheme="majorHAnsi"/>
          <w:sz w:val="22"/>
        </w:rPr>
        <w:t xml:space="preserve"> growth is fuelled by greater i</w:t>
      </w:r>
      <w:r w:rsidR="000B2D7F" w:rsidRPr="006849C3">
        <w:rPr>
          <w:rFonts w:asciiTheme="majorHAnsi" w:hAnsiTheme="majorHAnsi" w:cstheme="majorHAnsi"/>
          <w:sz w:val="22"/>
        </w:rPr>
        <w:t xml:space="preserve">ncome inequality </w:t>
      </w:r>
      <w:r w:rsidR="0038560F" w:rsidRPr="006849C3">
        <w:rPr>
          <w:rFonts w:asciiTheme="majorHAnsi" w:hAnsiTheme="majorHAnsi" w:cstheme="majorHAnsi"/>
          <w:sz w:val="22"/>
        </w:rPr>
        <w:t>(M. Brueckne</w:t>
      </w:r>
      <w:r w:rsidR="005F351C" w:rsidRPr="006849C3">
        <w:rPr>
          <w:rFonts w:asciiTheme="majorHAnsi" w:hAnsiTheme="majorHAnsi" w:cstheme="majorHAnsi"/>
          <w:sz w:val="22"/>
        </w:rPr>
        <w:t>r, 2017)</w:t>
      </w:r>
      <w:r w:rsidR="0038560F" w:rsidRPr="006849C3">
        <w:rPr>
          <w:rFonts w:asciiTheme="majorHAnsi" w:hAnsiTheme="majorHAnsi" w:cstheme="majorHAnsi"/>
          <w:sz w:val="22"/>
        </w:rPr>
        <w:t xml:space="preserve">. </w:t>
      </w:r>
      <w:r w:rsidR="00A5293F" w:rsidRPr="006849C3">
        <w:rPr>
          <w:rFonts w:asciiTheme="majorHAnsi" w:hAnsiTheme="majorHAnsi" w:cstheme="majorHAnsi"/>
          <w:sz w:val="22"/>
        </w:rPr>
        <w:t>This suggests that</w:t>
      </w:r>
      <w:r w:rsidR="00BE2995" w:rsidRPr="006849C3">
        <w:rPr>
          <w:rFonts w:asciiTheme="majorHAnsi" w:hAnsiTheme="majorHAnsi" w:cstheme="majorHAnsi"/>
          <w:sz w:val="22"/>
        </w:rPr>
        <w:t xml:space="preserve"> income inequality is another </w:t>
      </w:r>
      <w:r w:rsidR="00A5293F" w:rsidRPr="006849C3">
        <w:rPr>
          <w:rFonts w:asciiTheme="majorHAnsi" w:hAnsiTheme="majorHAnsi" w:cstheme="majorHAnsi"/>
          <w:sz w:val="22"/>
        </w:rPr>
        <w:t>‘</w:t>
      </w:r>
      <w:r w:rsidR="00BE2995" w:rsidRPr="006849C3">
        <w:rPr>
          <w:rFonts w:asciiTheme="majorHAnsi" w:hAnsiTheme="majorHAnsi" w:cstheme="majorHAnsi"/>
          <w:sz w:val="22"/>
        </w:rPr>
        <w:t>overlooked</w:t>
      </w:r>
      <w:r w:rsidR="00A5293F" w:rsidRPr="006849C3">
        <w:rPr>
          <w:rFonts w:asciiTheme="majorHAnsi" w:hAnsiTheme="majorHAnsi" w:cstheme="majorHAnsi"/>
          <w:sz w:val="22"/>
        </w:rPr>
        <w:t>’</w:t>
      </w:r>
      <w:r w:rsidR="00BE2995" w:rsidRPr="006849C3">
        <w:rPr>
          <w:rFonts w:asciiTheme="majorHAnsi" w:hAnsiTheme="majorHAnsi" w:cstheme="majorHAnsi"/>
          <w:sz w:val="22"/>
        </w:rPr>
        <w:t xml:space="preserve"> facto</w:t>
      </w:r>
      <w:r w:rsidR="00D5369F" w:rsidRPr="006849C3">
        <w:rPr>
          <w:rFonts w:asciiTheme="majorHAnsi" w:hAnsiTheme="majorHAnsi" w:cstheme="majorHAnsi"/>
          <w:sz w:val="22"/>
        </w:rPr>
        <w:t xml:space="preserve">r that affects economic growth. Since income inequality affects economic growth and consumer expenditure affects economic growth, this may suggest that there may be a link between income inequality and consumer expenditure. </w:t>
      </w:r>
    </w:p>
    <w:p w14:paraId="2A1929A1" w14:textId="77777777" w:rsidR="00E83C35" w:rsidRPr="006849C3" w:rsidRDefault="00E83C35">
      <w:pPr>
        <w:rPr>
          <w:rFonts w:asciiTheme="majorHAnsi" w:hAnsiTheme="majorHAnsi" w:cstheme="majorHAnsi"/>
          <w:b/>
          <w:sz w:val="22"/>
        </w:rPr>
      </w:pPr>
    </w:p>
    <w:p w14:paraId="52432480" w14:textId="78ABB06E" w:rsidR="00402EAC" w:rsidRPr="006849C3" w:rsidRDefault="00402EAC" w:rsidP="0066244A">
      <w:pPr>
        <w:tabs>
          <w:tab w:val="center" w:pos="4150"/>
        </w:tabs>
        <w:rPr>
          <w:rFonts w:asciiTheme="majorHAnsi" w:hAnsiTheme="majorHAnsi" w:cstheme="majorHAnsi"/>
          <w:b/>
          <w:sz w:val="22"/>
          <w:u w:val="single"/>
        </w:rPr>
      </w:pPr>
      <w:r w:rsidRPr="006849C3">
        <w:rPr>
          <w:rFonts w:asciiTheme="majorHAnsi" w:hAnsiTheme="majorHAnsi" w:cstheme="majorHAnsi"/>
          <w:b/>
          <w:sz w:val="22"/>
          <w:u w:val="single"/>
        </w:rPr>
        <w:t>Data Analysis</w:t>
      </w:r>
    </w:p>
    <w:p w14:paraId="74DC34EA" w14:textId="77777777" w:rsidR="00402EAC" w:rsidRPr="006849C3" w:rsidRDefault="00402EAC">
      <w:pPr>
        <w:rPr>
          <w:rFonts w:asciiTheme="majorHAnsi" w:hAnsiTheme="majorHAnsi" w:cstheme="majorHAnsi"/>
          <w:b/>
          <w:sz w:val="22"/>
        </w:rPr>
      </w:pPr>
    </w:p>
    <w:p w14:paraId="39635E24" w14:textId="274AA494" w:rsidR="00402EAC" w:rsidRPr="006849C3" w:rsidRDefault="009E797C">
      <w:pPr>
        <w:rPr>
          <w:rFonts w:asciiTheme="majorHAnsi" w:eastAsia="Times New Roman" w:hAnsiTheme="majorHAnsi" w:cstheme="majorHAnsi"/>
          <w:sz w:val="22"/>
          <w:szCs w:val="20"/>
        </w:rPr>
      </w:pPr>
      <w:r w:rsidRPr="006849C3">
        <w:rPr>
          <w:rFonts w:asciiTheme="majorHAnsi" w:eastAsia="Times New Roman" w:hAnsiTheme="majorHAnsi" w:cstheme="majorHAnsi"/>
          <w:sz w:val="22"/>
          <w:szCs w:val="20"/>
        </w:rPr>
        <w:t xml:space="preserve">I used the Gini co-efficient to represent income inequality. The Gini co-efficient ranges from 0 to 1 such that 0 indicates perfect equality, and 1 indicates extreme inequality. To calculate the Gini co-efficient for each country, I used data on income deciles from the Global Consumption and Income Project (2019). Using the income deciles, I worked out the cumulative income </w:t>
      </w:r>
      <w:r w:rsidR="004976CC">
        <w:rPr>
          <w:rFonts w:asciiTheme="majorHAnsi" w:eastAsia="Times New Roman" w:hAnsiTheme="majorHAnsi" w:cstheme="majorHAnsi"/>
          <w:sz w:val="22"/>
          <w:szCs w:val="20"/>
        </w:rPr>
        <w:t>deciles and calculated</w:t>
      </w:r>
      <w:r w:rsidRPr="006849C3">
        <w:rPr>
          <w:rFonts w:asciiTheme="majorHAnsi" w:eastAsia="Times New Roman" w:hAnsiTheme="majorHAnsi" w:cstheme="majorHAnsi"/>
          <w:sz w:val="22"/>
          <w:szCs w:val="20"/>
        </w:rPr>
        <w:t xml:space="preserve"> the Gini co-efficient. To measure consumer expenditure per capita, I used the total consumer expenditure per country and divided it by the population of each country. I extracted data on the consumer expenditure per country, from the World Consumer Spending Project (1970-2022) and combined it with data on the population size of each country. Data on the population size of each country was also retrieved from the Consumption and Income Project (2019). As a measure of consumer expenditure per capita, purchasing power parity in US Dollars was used</w:t>
      </w:r>
      <w:r w:rsidR="00356963" w:rsidRPr="006849C3">
        <w:rPr>
          <w:rFonts w:asciiTheme="majorHAnsi" w:hAnsiTheme="majorHAnsi" w:cstheme="majorHAnsi"/>
          <w:noProof/>
          <w:lang w:val="en-US"/>
        </w:rPr>
        <w:drawing>
          <wp:anchor distT="0" distB="0" distL="114300" distR="114300" simplePos="0" relativeHeight="251659776" behindDoc="0" locked="0" layoutInCell="1" allowOverlap="1" wp14:anchorId="62CEAAE6" wp14:editId="297BBD64">
            <wp:simplePos x="0" y="0"/>
            <wp:positionH relativeFrom="column">
              <wp:posOffset>-1059180</wp:posOffset>
            </wp:positionH>
            <wp:positionV relativeFrom="paragraph">
              <wp:posOffset>2105025</wp:posOffset>
            </wp:positionV>
            <wp:extent cx="7284720" cy="3962400"/>
            <wp:effectExtent l="0" t="0" r="11430" b="0"/>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Pr="006849C3">
        <w:rPr>
          <w:rFonts w:asciiTheme="majorHAnsi" w:eastAsia="Times New Roman" w:hAnsiTheme="majorHAnsi" w:cstheme="majorHAnsi"/>
          <w:sz w:val="22"/>
          <w:szCs w:val="20"/>
        </w:rPr>
        <w:t>.</w:t>
      </w:r>
    </w:p>
    <w:p w14:paraId="759885B9" w14:textId="77777777" w:rsidR="00EC69FD" w:rsidRDefault="00EC69FD" w:rsidP="009E797C">
      <w:pPr>
        <w:rPr>
          <w:rFonts w:asciiTheme="majorHAnsi" w:hAnsiTheme="majorHAnsi" w:cstheme="majorHAnsi"/>
          <w:sz w:val="22"/>
        </w:rPr>
      </w:pPr>
    </w:p>
    <w:p w14:paraId="23748F57" w14:textId="77777777" w:rsidR="009E797C" w:rsidRDefault="009E797C" w:rsidP="009E797C">
      <w:pPr>
        <w:rPr>
          <w:rFonts w:asciiTheme="majorHAnsi" w:hAnsiTheme="majorHAnsi" w:cstheme="majorHAnsi"/>
          <w:sz w:val="22"/>
        </w:rPr>
      </w:pPr>
      <w:r w:rsidRPr="006849C3">
        <w:rPr>
          <w:rFonts w:asciiTheme="majorHAnsi" w:hAnsiTheme="majorHAnsi" w:cstheme="majorHAnsi"/>
          <w:sz w:val="22"/>
        </w:rPr>
        <w:lastRenderedPageBreak/>
        <w:t>Figure 1 represents the relationship between consumer expenditure per capita (US$) and the Gini coefficient, where eat dot represents a country. Classification of countries into average income groups shows that there is a relationship between increasing a country’s GDP through increasing mean income, decreasing income inequality, and increasing consumer expenditure. Data on average income was obtained from the Consumption and Income Project (2019).</w:t>
      </w:r>
    </w:p>
    <w:p w14:paraId="16835719" w14:textId="77777777" w:rsidR="00DB06E6" w:rsidRDefault="00DB06E6" w:rsidP="009E797C">
      <w:pPr>
        <w:rPr>
          <w:rFonts w:asciiTheme="majorHAnsi" w:hAnsiTheme="majorHAnsi" w:cstheme="majorHAnsi"/>
          <w:sz w:val="22"/>
        </w:rPr>
      </w:pPr>
    </w:p>
    <w:p w14:paraId="7213AE12" w14:textId="00C9026A" w:rsidR="00DB06E6" w:rsidRDefault="00DB06E6" w:rsidP="00DB06E6">
      <w:pPr>
        <w:rPr>
          <w:rFonts w:asciiTheme="majorHAnsi" w:hAnsiTheme="majorHAnsi" w:cstheme="majorHAnsi"/>
          <w:sz w:val="22"/>
        </w:rPr>
      </w:pPr>
      <w:r>
        <w:rPr>
          <w:rFonts w:asciiTheme="majorHAnsi" w:hAnsiTheme="majorHAnsi" w:cstheme="majorHAnsi"/>
          <w:sz w:val="22"/>
        </w:rPr>
        <w:t>According to Kuznets’ theory, the increase in income per capita will lead to a fall in income inequality</w:t>
      </w:r>
      <w:r w:rsidR="00F168F6">
        <w:rPr>
          <w:rFonts w:asciiTheme="majorHAnsi" w:hAnsiTheme="majorHAnsi" w:cstheme="majorHAnsi"/>
          <w:sz w:val="22"/>
        </w:rPr>
        <w:t xml:space="preserve"> after a certain threshold is overcome</w:t>
      </w:r>
      <w:r w:rsidR="00566B69">
        <w:rPr>
          <w:rFonts w:asciiTheme="majorHAnsi" w:hAnsiTheme="majorHAnsi" w:cstheme="majorHAnsi"/>
          <w:sz w:val="22"/>
        </w:rPr>
        <w:t>. Hence we</w:t>
      </w:r>
      <w:r>
        <w:rPr>
          <w:rFonts w:asciiTheme="majorHAnsi" w:hAnsiTheme="majorHAnsi" w:cstheme="majorHAnsi"/>
          <w:sz w:val="22"/>
        </w:rPr>
        <w:t xml:space="preserve"> see</w:t>
      </w:r>
      <w:r w:rsidR="00566B69">
        <w:rPr>
          <w:rFonts w:asciiTheme="majorHAnsi" w:hAnsiTheme="majorHAnsi" w:cstheme="majorHAnsi"/>
          <w:sz w:val="22"/>
        </w:rPr>
        <w:t xml:space="preserve"> that</w:t>
      </w:r>
      <w:r>
        <w:rPr>
          <w:rFonts w:asciiTheme="majorHAnsi" w:hAnsiTheme="majorHAnsi" w:cstheme="majorHAnsi"/>
          <w:sz w:val="22"/>
        </w:rPr>
        <w:t xml:space="preserve"> </w:t>
      </w:r>
      <w:r w:rsidRPr="006849C3">
        <w:rPr>
          <w:rFonts w:asciiTheme="majorHAnsi" w:hAnsiTheme="majorHAnsi" w:cstheme="majorHAnsi"/>
          <w:sz w:val="22"/>
        </w:rPr>
        <w:t>higher-income countries tend to have lower Gini co-efficient</w:t>
      </w:r>
      <w:r>
        <w:rPr>
          <w:rFonts w:asciiTheme="majorHAnsi" w:hAnsiTheme="majorHAnsi" w:cstheme="majorHAnsi"/>
          <w:sz w:val="22"/>
        </w:rPr>
        <w:t>s</w:t>
      </w:r>
      <w:r w:rsidRPr="006849C3">
        <w:rPr>
          <w:rFonts w:asciiTheme="majorHAnsi" w:hAnsiTheme="majorHAnsi" w:cstheme="majorHAnsi"/>
          <w:sz w:val="22"/>
        </w:rPr>
        <w:t xml:space="preserve"> compared to lower-income countries</w:t>
      </w:r>
      <w:r>
        <w:rPr>
          <w:rFonts w:asciiTheme="majorHAnsi" w:hAnsiTheme="majorHAnsi" w:cstheme="majorHAnsi"/>
          <w:sz w:val="22"/>
        </w:rPr>
        <w:t>, presented in Figure 1</w:t>
      </w:r>
      <w:r w:rsidRPr="006849C3">
        <w:rPr>
          <w:rFonts w:asciiTheme="majorHAnsi" w:hAnsiTheme="majorHAnsi" w:cstheme="majorHAnsi"/>
          <w:sz w:val="22"/>
        </w:rPr>
        <w:t>.</w:t>
      </w:r>
      <w:r>
        <w:rPr>
          <w:rFonts w:asciiTheme="majorHAnsi" w:hAnsiTheme="majorHAnsi" w:cstheme="majorHAnsi"/>
          <w:sz w:val="22"/>
        </w:rPr>
        <w:t xml:space="preserve"> </w:t>
      </w:r>
      <w:r w:rsidR="005B3B0C">
        <w:rPr>
          <w:rFonts w:asciiTheme="majorHAnsi" w:hAnsiTheme="majorHAnsi" w:cstheme="majorHAnsi"/>
          <w:sz w:val="22"/>
        </w:rPr>
        <w:t>But how</w:t>
      </w:r>
      <w:r>
        <w:rPr>
          <w:rFonts w:asciiTheme="majorHAnsi" w:hAnsiTheme="majorHAnsi" w:cstheme="majorHAnsi"/>
          <w:sz w:val="22"/>
        </w:rPr>
        <w:t xml:space="preserve"> does </w:t>
      </w:r>
      <w:r w:rsidR="00F81CCF">
        <w:rPr>
          <w:rFonts w:asciiTheme="majorHAnsi" w:hAnsiTheme="majorHAnsi" w:cstheme="majorHAnsi"/>
          <w:sz w:val="22"/>
        </w:rPr>
        <w:t>high-</w:t>
      </w:r>
      <w:r w:rsidR="00F168F6">
        <w:rPr>
          <w:rFonts w:asciiTheme="majorHAnsi" w:hAnsiTheme="majorHAnsi" w:cstheme="majorHAnsi"/>
          <w:sz w:val="22"/>
        </w:rPr>
        <w:t>income inequality fuel economic growth?</w:t>
      </w:r>
    </w:p>
    <w:p w14:paraId="7809DB2D" w14:textId="77777777" w:rsidR="00DB06E6" w:rsidRDefault="00DB06E6" w:rsidP="00580948">
      <w:pPr>
        <w:rPr>
          <w:rFonts w:asciiTheme="majorHAnsi" w:hAnsiTheme="majorHAnsi" w:cstheme="majorHAnsi"/>
          <w:sz w:val="22"/>
        </w:rPr>
      </w:pPr>
    </w:p>
    <w:p w14:paraId="64E0C404" w14:textId="683E195A" w:rsidR="00F55AF8" w:rsidRDefault="004D3DCC" w:rsidP="00580948">
      <w:pPr>
        <w:rPr>
          <w:rFonts w:asciiTheme="majorHAnsi" w:hAnsiTheme="majorHAnsi" w:cstheme="majorHAnsi"/>
          <w:sz w:val="22"/>
        </w:rPr>
      </w:pPr>
      <w:r>
        <w:rPr>
          <w:rFonts w:asciiTheme="majorHAnsi" w:hAnsiTheme="majorHAnsi" w:cstheme="majorHAnsi"/>
          <w:sz w:val="22"/>
        </w:rPr>
        <w:t>For low-income countries, high-</w:t>
      </w:r>
      <w:r w:rsidR="009E797C" w:rsidRPr="006849C3">
        <w:rPr>
          <w:rFonts w:asciiTheme="majorHAnsi" w:hAnsiTheme="majorHAnsi" w:cstheme="majorHAnsi"/>
          <w:sz w:val="22"/>
        </w:rPr>
        <w:t>income inequality boosts economic growth (M. Bruckner et</w:t>
      </w:r>
      <w:r>
        <w:rPr>
          <w:rFonts w:asciiTheme="majorHAnsi" w:hAnsiTheme="majorHAnsi" w:cstheme="majorHAnsi"/>
          <w:sz w:val="22"/>
        </w:rPr>
        <w:t xml:space="preserve"> al</w:t>
      </w:r>
      <w:r w:rsidR="006D32ED">
        <w:rPr>
          <w:rFonts w:asciiTheme="majorHAnsi" w:hAnsiTheme="majorHAnsi" w:cstheme="majorHAnsi"/>
          <w:sz w:val="22"/>
        </w:rPr>
        <w:t>.</w:t>
      </w:r>
      <w:r>
        <w:rPr>
          <w:rFonts w:asciiTheme="majorHAnsi" w:hAnsiTheme="majorHAnsi" w:cstheme="majorHAnsi"/>
          <w:sz w:val="22"/>
        </w:rPr>
        <w:t xml:space="preserve">, 2015). In Figure 1, we </w:t>
      </w:r>
      <w:r w:rsidR="009E797C" w:rsidRPr="006849C3">
        <w:rPr>
          <w:rFonts w:asciiTheme="majorHAnsi" w:hAnsiTheme="majorHAnsi" w:cstheme="majorHAnsi"/>
          <w:sz w:val="22"/>
        </w:rPr>
        <w:t xml:space="preserve">see that low-income countries tend to have higher </w:t>
      </w:r>
      <w:r w:rsidR="006D32ED">
        <w:rPr>
          <w:rFonts w:asciiTheme="majorHAnsi" w:hAnsiTheme="majorHAnsi" w:cstheme="majorHAnsi"/>
          <w:sz w:val="22"/>
        </w:rPr>
        <w:t>income inequality levels than</w:t>
      </w:r>
      <w:r w:rsidR="009E797C" w:rsidRPr="006849C3">
        <w:rPr>
          <w:rFonts w:asciiTheme="majorHAnsi" w:hAnsiTheme="majorHAnsi" w:cstheme="majorHAnsi"/>
          <w:sz w:val="22"/>
        </w:rPr>
        <w:t xml:space="preserve"> to middle and high-income countries. Thus, according to M. Bruckner, these low-income countries are on the path to achieving economic growth</w:t>
      </w:r>
      <w:r w:rsidR="00580948">
        <w:rPr>
          <w:rFonts w:asciiTheme="majorHAnsi" w:hAnsiTheme="majorHAnsi" w:cstheme="majorHAnsi"/>
          <w:sz w:val="22"/>
        </w:rPr>
        <w:t xml:space="preserve">. </w:t>
      </w:r>
      <w:r w:rsidR="00580948" w:rsidRPr="006849C3">
        <w:rPr>
          <w:rFonts w:asciiTheme="majorHAnsi" w:hAnsiTheme="majorHAnsi" w:cstheme="majorHAnsi"/>
          <w:sz w:val="22"/>
        </w:rPr>
        <w:t>People are more concerned about relative income rather than its a</w:t>
      </w:r>
      <w:r w:rsidR="00580948">
        <w:rPr>
          <w:rFonts w:asciiTheme="majorHAnsi" w:hAnsiTheme="majorHAnsi" w:cstheme="majorHAnsi"/>
          <w:sz w:val="22"/>
        </w:rPr>
        <w:t xml:space="preserve">bsolute level (Layard. R, 2008) as </w:t>
      </w:r>
      <w:r w:rsidR="00580948" w:rsidRPr="006849C3">
        <w:rPr>
          <w:rFonts w:asciiTheme="majorHAnsi" w:hAnsiTheme="majorHAnsi" w:cstheme="majorHAnsi"/>
          <w:sz w:val="22"/>
        </w:rPr>
        <w:t>we are trying to be someone consistent with our aspirations (Veblen)</w:t>
      </w:r>
      <w:r w:rsidR="00580948">
        <w:rPr>
          <w:rFonts w:asciiTheme="majorHAnsi" w:hAnsiTheme="majorHAnsi" w:cstheme="majorHAnsi"/>
          <w:sz w:val="22"/>
        </w:rPr>
        <w:t>. Therefore when there are high levels of income inequality, income</w:t>
      </w:r>
      <w:r w:rsidR="005B3B0C">
        <w:rPr>
          <w:rFonts w:asciiTheme="majorHAnsi" w:hAnsiTheme="majorHAnsi" w:cstheme="majorHAnsi"/>
          <w:sz w:val="22"/>
        </w:rPr>
        <w:t xml:space="preserve"> and wealth</w:t>
      </w:r>
      <w:r w:rsidR="00580948">
        <w:rPr>
          <w:rFonts w:asciiTheme="majorHAnsi" w:hAnsiTheme="majorHAnsi" w:cstheme="majorHAnsi"/>
          <w:sz w:val="22"/>
        </w:rPr>
        <w:t xml:space="preserve"> becomes an indicator of social status (Walasek. L, Brown. G. D. A, 2016)</w:t>
      </w:r>
      <w:r w:rsidR="000770CE">
        <w:rPr>
          <w:rFonts w:asciiTheme="majorHAnsi" w:hAnsiTheme="majorHAnsi" w:cstheme="majorHAnsi"/>
          <w:sz w:val="22"/>
        </w:rPr>
        <w:t xml:space="preserve">. </w:t>
      </w:r>
      <w:r w:rsidR="00580948">
        <w:rPr>
          <w:rFonts w:asciiTheme="majorHAnsi" w:hAnsiTheme="majorHAnsi" w:cstheme="majorHAnsi"/>
          <w:sz w:val="22"/>
        </w:rPr>
        <w:t xml:space="preserve">Thus, due to high levels of income inequality in low-income countries, low-income earners </w:t>
      </w:r>
      <w:r w:rsidR="00580948" w:rsidRPr="006849C3">
        <w:rPr>
          <w:rFonts w:asciiTheme="majorHAnsi" w:hAnsiTheme="majorHAnsi" w:cstheme="majorHAnsi"/>
          <w:sz w:val="22"/>
        </w:rPr>
        <w:t xml:space="preserve">may be more motivated to ‘Keep up with the Joneses’ and partake in </w:t>
      </w:r>
      <w:r w:rsidR="00EC6BE8">
        <w:rPr>
          <w:rFonts w:asciiTheme="majorHAnsi" w:hAnsiTheme="majorHAnsi" w:cstheme="majorHAnsi"/>
          <w:sz w:val="22"/>
        </w:rPr>
        <w:t xml:space="preserve">conspicuous consumption </w:t>
      </w:r>
      <w:r w:rsidR="00580948" w:rsidRPr="006849C3">
        <w:rPr>
          <w:rFonts w:asciiTheme="majorHAnsi" w:hAnsiTheme="majorHAnsi" w:cstheme="majorHAnsi"/>
          <w:sz w:val="22"/>
        </w:rPr>
        <w:t>to appear wealthier than the top decile</w:t>
      </w:r>
      <w:r w:rsidR="00580948">
        <w:rPr>
          <w:rFonts w:asciiTheme="majorHAnsi" w:hAnsiTheme="majorHAnsi" w:cstheme="majorHAnsi"/>
          <w:sz w:val="22"/>
        </w:rPr>
        <w:t xml:space="preserve"> income</w:t>
      </w:r>
      <w:r w:rsidR="00580948" w:rsidRPr="006849C3">
        <w:rPr>
          <w:rFonts w:asciiTheme="majorHAnsi" w:hAnsiTheme="majorHAnsi" w:cstheme="majorHAnsi"/>
          <w:sz w:val="22"/>
        </w:rPr>
        <w:t xml:space="preserve"> group</w:t>
      </w:r>
      <w:r w:rsidR="00580948">
        <w:rPr>
          <w:rFonts w:asciiTheme="majorHAnsi" w:hAnsiTheme="majorHAnsi" w:cstheme="majorHAnsi"/>
          <w:sz w:val="22"/>
        </w:rPr>
        <w:t>. Consequently, the marginal propensity to save for low-income earners is smaller than that of rich peopl</w:t>
      </w:r>
      <w:r w:rsidR="006D32ED">
        <w:rPr>
          <w:rFonts w:asciiTheme="majorHAnsi" w:hAnsiTheme="majorHAnsi" w:cstheme="majorHAnsi"/>
          <w:sz w:val="22"/>
        </w:rPr>
        <w:t xml:space="preserve">e (Kaldor, 1960). To </w:t>
      </w:r>
      <w:r w:rsidR="00580948">
        <w:rPr>
          <w:rFonts w:asciiTheme="majorHAnsi" w:hAnsiTheme="majorHAnsi" w:cstheme="majorHAnsi"/>
          <w:sz w:val="22"/>
        </w:rPr>
        <w:t>afford positional goods, low-income earners are willing to work longer hours in order to increase their income</w:t>
      </w:r>
      <w:r w:rsidR="00380C99">
        <w:rPr>
          <w:rFonts w:asciiTheme="majorHAnsi" w:hAnsiTheme="majorHAnsi" w:cstheme="majorHAnsi"/>
          <w:sz w:val="22"/>
        </w:rPr>
        <w:t xml:space="preserve"> (Bowles &amp; Park, 2005)</w:t>
      </w:r>
      <w:r w:rsidR="006208D3">
        <w:rPr>
          <w:rFonts w:asciiTheme="majorHAnsi" w:hAnsiTheme="majorHAnsi" w:cstheme="majorHAnsi"/>
          <w:sz w:val="22"/>
        </w:rPr>
        <w:t xml:space="preserve"> and spend more, according to Kaldor</w:t>
      </w:r>
      <w:r w:rsidR="00580948">
        <w:rPr>
          <w:rFonts w:asciiTheme="majorHAnsi" w:hAnsiTheme="majorHAnsi" w:cstheme="majorHAnsi"/>
          <w:sz w:val="22"/>
        </w:rPr>
        <w:t>.</w:t>
      </w:r>
      <w:r w:rsidR="004130AA">
        <w:rPr>
          <w:rFonts w:asciiTheme="majorHAnsi" w:hAnsiTheme="majorHAnsi" w:cstheme="majorHAnsi"/>
          <w:sz w:val="22"/>
        </w:rPr>
        <w:t xml:space="preserve"> </w:t>
      </w:r>
      <w:r w:rsidR="00D72673" w:rsidRPr="006849C3">
        <w:rPr>
          <w:rFonts w:asciiTheme="majorHAnsi" w:hAnsiTheme="majorHAnsi" w:cstheme="majorHAnsi"/>
          <w:sz w:val="22"/>
        </w:rPr>
        <w:t>Hence this may explain why the share of consumption of Gross-Domestic Product (GDP) ranges from 70% to 75% in developing countries (P. K. Mishra, 2011)</w:t>
      </w:r>
      <w:r w:rsidR="00D72673">
        <w:rPr>
          <w:rFonts w:asciiTheme="majorHAnsi" w:hAnsiTheme="majorHAnsi" w:cstheme="majorHAnsi"/>
          <w:sz w:val="22"/>
        </w:rPr>
        <w:t xml:space="preserve">. Further emphasising the importance of consumption for a developing country to grow. </w:t>
      </w:r>
      <w:r w:rsidR="00211842">
        <w:rPr>
          <w:rFonts w:asciiTheme="majorHAnsi" w:hAnsiTheme="majorHAnsi" w:cstheme="majorHAnsi"/>
          <w:sz w:val="22"/>
        </w:rPr>
        <w:t>Subseq</w:t>
      </w:r>
      <w:r w:rsidR="006D32ED">
        <w:rPr>
          <w:rFonts w:asciiTheme="majorHAnsi" w:hAnsiTheme="majorHAnsi" w:cstheme="majorHAnsi"/>
          <w:sz w:val="22"/>
        </w:rPr>
        <w:t>uently, as mean incomes rise</w:t>
      </w:r>
      <w:r w:rsidR="00211842">
        <w:rPr>
          <w:rFonts w:asciiTheme="majorHAnsi" w:hAnsiTheme="majorHAnsi" w:cstheme="majorHAnsi"/>
          <w:sz w:val="22"/>
        </w:rPr>
        <w:t xml:space="preserve"> i.e.</w:t>
      </w:r>
      <w:r w:rsidR="006D32ED">
        <w:rPr>
          <w:rFonts w:asciiTheme="majorHAnsi" w:hAnsiTheme="majorHAnsi" w:cstheme="majorHAnsi"/>
          <w:sz w:val="22"/>
        </w:rPr>
        <w:t>,</w:t>
      </w:r>
      <w:r w:rsidR="00211842">
        <w:rPr>
          <w:rFonts w:asciiTheme="majorHAnsi" w:hAnsiTheme="majorHAnsi" w:cstheme="majorHAnsi"/>
          <w:sz w:val="22"/>
        </w:rPr>
        <w:t xml:space="preserve"> as economic growth occurs, there will be an increase in consumption and a decrease in income inequality.</w:t>
      </w:r>
      <w:r w:rsidR="00F168F6">
        <w:rPr>
          <w:rFonts w:asciiTheme="majorHAnsi" w:hAnsiTheme="majorHAnsi" w:cstheme="majorHAnsi"/>
          <w:sz w:val="22"/>
        </w:rPr>
        <w:t xml:space="preserve"> This is in line with Kuznets’ theory.</w:t>
      </w:r>
    </w:p>
    <w:p w14:paraId="4CA7B99D" w14:textId="77777777" w:rsidR="00E967FB" w:rsidRDefault="00E967FB" w:rsidP="00580948">
      <w:pPr>
        <w:rPr>
          <w:rFonts w:asciiTheme="majorHAnsi" w:hAnsiTheme="majorHAnsi" w:cstheme="majorHAnsi"/>
          <w:sz w:val="22"/>
        </w:rPr>
      </w:pPr>
    </w:p>
    <w:p w14:paraId="5988A216" w14:textId="4E052C91" w:rsidR="00E967FB" w:rsidRDefault="00E967FB" w:rsidP="00580948">
      <w:pPr>
        <w:rPr>
          <w:rFonts w:asciiTheme="majorHAnsi" w:hAnsiTheme="majorHAnsi" w:cstheme="majorHAnsi"/>
          <w:sz w:val="22"/>
        </w:rPr>
      </w:pPr>
      <w:r>
        <w:rPr>
          <w:rFonts w:asciiTheme="majorHAnsi" w:hAnsiTheme="majorHAnsi" w:cstheme="majorHAnsi"/>
          <w:sz w:val="22"/>
        </w:rPr>
        <w:t xml:space="preserve">An application of how income inequality affects growth is that it may incentify low-income countries to increase levels of income inequality in order to boost </w:t>
      </w:r>
      <w:r w:rsidR="00122D8D">
        <w:rPr>
          <w:rFonts w:asciiTheme="majorHAnsi" w:hAnsiTheme="majorHAnsi" w:cstheme="majorHAnsi"/>
          <w:sz w:val="22"/>
        </w:rPr>
        <w:t xml:space="preserve">growth </w:t>
      </w:r>
      <w:r>
        <w:rPr>
          <w:rFonts w:asciiTheme="majorHAnsi" w:hAnsiTheme="majorHAnsi" w:cstheme="majorHAnsi"/>
          <w:sz w:val="22"/>
        </w:rPr>
        <w:t xml:space="preserve">and the marginal propensity to consume. </w:t>
      </w:r>
      <w:r w:rsidR="00876E41">
        <w:rPr>
          <w:rFonts w:asciiTheme="majorHAnsi" w:hAnsiTheme="majorHAnsi" w:cstheme="majorHAnsi"/>
          <w:sz w:val="22"/>
        </w:rPr>
        <w:t>Income inequality in low-income countries influences an increase in investment into human capital (M. Bruckner &amp; D. Lederman, 2015)</w:t>
      </w:r>
      <w:r w:rsidR="00876E41" w:rsidRPr="00876E41">
        <w:rPr>
          <w:rFonts w:asciiTheme="majorHAnsi" w:hAnsiTheme="majorHAnsi" w:cstheme="majorHAnsi"/>
          <w:sz w:val="22"/>
        </w:rPr>
        <w:t>.</w:t>
      </w:r>
      <w:r w:rsidR="00876E41">
        <w:rPr>
          <w:rFonts w:asciiTheme="majorHAnsi" w:hAnsiTheme="majorHAnsi" w:cstheme="majorHAnsi"/>
          <w:sz w:val="22"/>
        </w:rPr>
        <w:t xml:space="preserve"> Investment into human capital, improves the effectiveness of schools and training in order to improve the skill set of the working population. </w:t>
      </w:r>
      <w:r w:rsidR="009A4DF0">
        <w:rPr>
          <w:rFonts w:asciiTheme="majorHAnsi" w:hAnsiTheme="majorHAnsi" w:cstheme="majorHAnsi"/>
          <w:sz w:val="22"/>
        </w:rPr>
        <w:t xml:space="preserve">Initially, some people may not choose to work as they may become reliant on government subsidies. However, high levels of income inequality may motivate the working population to work in order to improve their status through consuming </w:t>
      </w:r>
      <w:r w:rsidR="001657D6">
        <w:rPr>
          <w:rFonts w:asciiTheme="majorHAnsi" w:hAnsiTheme="majorHAnsi" w:cstheme="majorHAnsi"/>
          <w:sz w:val="22"/>
        </w:rPr>
        <w:t>positional goods. This complies with</w:t>
      </w:r>
      <w:r w:rsidR="009A4DF0">
        <w:rPr>
          <w:rFonts w:asciiTheme="majorHAnsi" w:hAnsiTheme="majorHAnsi" w:cstheme="majorHAnsi"/>
          <w:sz w:val="22"/>
        </w:rPr>
        <w:t xml:space="preserve"> Kuznets’ theory </w:t>
      </w:r>
      <w:r w:rsidR="001657D6">
        <w:rPr>
          <w:rFonts w:asciiTheme="majorHAnsi" w:hAnsiTheme="majorHAnsi" w:cstheme="majorHAnsi"/>
          <w:sz w:val="22"/>
        </w:rPr>
        <w:t>because an increase in employment results in mean incomes to increase. Furthermore, since the working population are more qualified, this enables them to access higher skilled and higher paid jobs. This will further increase the mean income, influencing economic growth. As previous low-income earners’ are now accessing higher paid jobs, this will allow them to work alongside high-income earners’, reducing the income gap even further. This will initiate the ‘Snowball Effect’ that influences economic growth.</w:t>
      </w:r>
    </w:p>
    <w:p w14:paraId="7E58BB77" w14:textId="77777777" w:rsidR="00580948" w:rsidRDefault="00580948" w:rsidP="009E797C">
      <w:pPr>
        <w:rPr>
          <w:rFonts w:asciiTheme="majorHAnsi" w:hAnsiTheme="majorHAnsi" w:cstheme="majorHAnsi"/>
          <w:sz w:val="22"/>
        </w:rPr>
      </w:pPr>
    </w:p>
    <w:p w14:paraId="1718B3F1" w14:textId="5E9B77DC" w:rsidR="001F79E6" w:rsidRPr="006849C3" w:rsidRDefault="001F79E6" w:rsidP="00402EAC">
      <w:pPr>
        <w:rPr>
          <w:rFonts w:asciiTheme="majorHAnsi" w:hAnsiTheme="majorHAnsi" w:cstheme="majorHAnsi"/>
          <w:b/>
          <w:sz w:val="22"/>
          <w:u w:val="single"/>
        </w:rPr>
      </w:pPr>
      <w:r w:rsidRPr="006849C3">
        <w:rPr>
          <w:rFonts w:asciiTheme="majorHAnsi" w:hAnsiTheme="majorHAnsi" w:cstheme="majorHAnsi"/>
          <w:b/>
          <w:sz w:val="22"/>
          <w:u w:val="single"/>
        </w:rPr>
        <w:t>Conclusion</w:t>
      </w:r>
    </w:p>
    <w:p w14:paraId="57444E44" w14:textId="77777777" w:rsidR="007803FC" w:rsidRPr="006849C3" w:rsidRDefault="007803FC" w:rsidP="00423775">
      <w:pPr>
        <w:rPr>
          <w:rFonts w:asciiTheme="majorHAnsi" w:hAnsiTheme="majorHAnsi" w:cstheme="majorHAnsi"/>
          <w:sz w:val="22"/>
        </w:rPr>
      </w:pPr>
    </w:p>
    <w:p w14:paraId="78D87119" w14:textId="6AE0BC41" w:rsidR="00FE4F31" w:rsidRDefault="009E797C" w:rsidP="00423775">
      <w:pPr>
        <w:rPr>
          <w:rFonts w:asciiTheme="majorHAnsi" w:hAnsiTheme="majorHAnsi" w:cstheme="majorHAnsi"/>
          <w:sz w:val="22"/>
        </w:rPr>
      </w:pPr>
      <w:r w:rsidRPr="006849C3">
        <w:rPr>
          <w:rFonts w:asciiTheme="majorHAnsi" w:hAnsiTheme="majorHAnsi" w:cstheme="majorHAnsi"/>
          <w:sz w:val="22"/>
        </w:rPr>
        <w:lastRenderedPageBreak/>
        <w:t>High levels of income inequality</w:t>
      </w:r>
      <w:r w:rsidR="007C4009">
        <w:rPr>
          <w:rFonts w:asciiTheme="majorHAnsi" w:hAnsiTheme="majorHAnsi" w:cstheme="majorHAnsi"/>
          <w:sz w:val="22"/>
        </w:rPr>
        <w:t xml:space="preserve"> and consumption</w:t>
      </w:r>
      <w:r w:rsidRPr="006849C3">
        <w:rPr>
          <w:rFonts w:asciiTheme="majorHAnsi" w:hAnsiTheme="majorHAnsi" w:cstheme="majorHAnsi"/>
          <w:sz w:val="22"/>
        </w:rPr>
        <w:t xml:space="preserve"> fuel economic growth in developing countries. This is because indi</w:t>
      </w:r>
      <w:r w:rsidR="00E04FB1">
        <w:rPr>
          <w:rFonts w:asciiTheme="majorHAnsi" w:hAnsiTheme="majorHAnsi" w:cstheme="majorHAnsi"/>
          <w:sz w:val="22"/>
        </w:rPr>
        <w:t xml:space="preserve">viduals in low-income countries believe income and the ability to buy positional goods indicates status in society. </w:t>
      </w:r>
      <w:r w:rsidRPr="006849C3">
        <w:rPr>
          <w:rFonts w:asciiTheme="majorHAnsi" w:hAnsiTheme="majorHAnsi" w:cstheme="majorHAnsi"/>
          <w:sz w:val="22"/>
        </w:rPr>
        <w:t>As a result, they will become more motivat</w:t>
      </w:r>
      <w:r w:rsidR="007C4009">
        <w:rPr>
          <w:rFonts w:asciiTheme="majorHAnsi" w:hAnsiTheme="majorHAnsi" w:cstheme="majorHAnsi"/>
          <w:sz w:val="22"/>
        </w:rPr>
        <w:t xml:space="preserve">ed to increase their incomes in order to </w:t>
      </w:r>
      <w:r w:rsidRPr="006849C3">
        <w:rPr>
          <w:rFonts w:asciiTheme="majorHAnsi" w:hAnsiTheme="majorHAnsi" w:cstheme="majorHAnsi"/>
          <w:sz w:val="22"/>
        </w:rPr>
        <w:t xml:space="preserve">increase spending on positional goods </w:t>
      </w:r>
      <w:r w:rsidR="00E04FB1">
        <w:rPr>
          <w:rFonts w:asciiTheme="majorHAnsi" w:hAnsiTheme="majorHAnsi" w:cstheme="majorHAnsi"/>
          <w:sz w:val="22"/>
        </w:rPr>
        <w:t xml:space="preserve">to appear wealthier. </w:t>
      </w:r>
      <w:r w:rsidRPr="006849C3">
        <w:rPr>
          <w:rFonts w:asciiTheme="majorHAnsi" w:hAnsiTheme="majorHAnsi" w:cstheme="majorHAnsi"/>
          <w:sz w:val="22"/>
        </w:rPr>
        <w:t>This w</w:t>
      </w:r>
      <w:r w:rsidR="00E04FB1">
        <w:rPr>
          <w:rFonts w:asciiTheme="majorHAnsi" w:hAnsiTheme="majorHAnsi" w:cstheme="majorHAnsi"/>
          <w:sz w:val="22"/>
        </w:rPr>
        <w:t>ill lead to the average income and consumption to increase,</w:t>
      </w:r>
      <w:r w:rsidRPr="006849C3">
        <w:rPr>
          <w:rFonts w:asciiTheme="majorHAnsi" w:hAnsiTheme="majorHAnsi" w:cstheme="majorHAnsi"/>
          <w:sz w:val="22"/>
        </w:rPr>
        <w:t xml:space="preserve"> allowing for the country to transition from a low-income country to a high-income country. </w:t>
      </w:r>
      <w:r w:rsidR="00EC6BE8">
        <w:rPr>
          <w:rFonts w:asciiTheme="majorHAnsi" w:hAnsiTheme="majorHAnsi" w:cstheme="majorHAnsi"/>
          <w:sz w:val="22"/>
        </w:rPr>
        <w:t>Finally this will lead to economic growth.</w:t>
      </w:r>
      <w:r w:rsidR="000F3F7A">
        <w:rPr>
          <w:rFonts w:asciiTheme="majorHAnsi" w:hAnsiTheme="majorHAnsi" w:cstheme="majorHAnsi"/>
          <w:sz w:val="22"/>
        </w:rPr>
        <w:t xml:space="preserve"> </w:t>
      </w:r>
    </w:p>
    <w:p w14:paraId="4AA2EADF" w14:textId="77777777" w:rsidR="000F3F7A" w:rsidRDefault="000F3F7A" w:rsidP="00423775">
      <w:pPr>
        <w:rPr>
          <w:rFonts w:asciiTheme="majorHAnsi" w:hAnsiTheme="majorHAnsi" w:cstheme="majorHAnsi"/>
          <w:sz w:val="22"/>
        </w:rPr>
      </w:pPr>
    </w:p>
    <w:p w14:paraId="67193E28" w14:textId="7A0EB3FF" w:rsidR="000F3F7A" w:rsidRPr="006849C3" w:rsidRDefault="000F3F7A" w:rsidP="00423775">
      <w:pPr>
        <w:rPr>
          <w:rFonts w:asciiTheme="majorHAnsi" w:hAnsiTheme="majorHAnsi" w:cstheme="majorHAnsi"/>
          <w:sz w:val="22"/>
        </w:rPr>
      </w:pPr>
      <w:r>
        <w:rPr>
          <w:rFonts w:asciiTheme="majorHAnsi" w:hAnsiTheme="majorHAnsi" w:cstheme="majorHAnsi"/>
          <w:sz w:val="22"/>
        </w:rPr>
        <w:t xml:space="preserve">Investment into human capital, in a low-income country, can increase the rate of economic growth by improving the skill set of the working population. This ensures everyone can access a high paid </w:t>
      </w:r>
      <w:r w:rsidR="00502922">
        <w:rPr>
          <w:rFonts w:asciiTheme="majorHAnsi" w:hAnsiTheme="majorHAnsi" w:cstheme="majorHAnsi"/>
          <w:sz w:val="22"/>
        </w:rPr>
        <w:t>job;</w:t>
      </w:r>
      <w:r>
        <w:rPr>
          <w:rFonts w:asciiTheme="majorHAnsi" w:hAnsiTheme="majorHAnsi" w:cstheme="majorHAnsi"/>
          <w:sz w:val="22"/>
        </w:rPr>
        <w:t xml:space="preserve"> reducing income inequality and increasing GDP per capita i.e. further economic growth. </w:t>
      </w:r>
    </w:p>
    <w:p w14:paraId="360D7743" w14:textId="77777777" w:rsidR="009E797C" w:rsidRPr="006849C3" w:rsidRDefault="009E797C" w:rsidP="00FE4F31">
      <w:pPr>
        <w:rPr>
          <w:rFonts w:asciiTheme="majorHAnsi" w:hAnsiTheme="majorHAnsi" w:cstheme="majorHAnsi"/>
          <w:b/>
          <w:sz w:val="22"/>
          <w:u w:val="single"/>
        </w:rPr>
      </w:pPr>
    </w:p>
    <w:p w14:paraId="262688B0" w14:textId="77777777" w:rsidR="00122D8D" w:rsidRDefault="00122D8D" w:rsidP="00FE4F31">
      <w:pPr>
        <w:rPr>
          <w:rFonts w:asciiTheme="majorHAnsi" w:hAnsiTheme="majorHAnsi" w:cstheme="majorHAnsi"/>
          <w:b/>
          <w:sz w:val="22"/>
          <w:u w:val="single"/>
        </w:rPr>
      </w:pPr>
    </w:p>
    <w:p w14:paraId="6524C976" w14:textId="5637751D" w:rsidR="00FE4F31" w:rsidRPr="006849C3" w:rsidRDefault="00FE4F31" w:rsidP="00FE4F31">
      <w:pPr>
        <w:rPr>
          <w:rFonts w:asciiTheme="majorHAnsi" w:hAnsiTheme="majorHAnsi" w:cstheme="majorHAnsi"/>
          <w:b/>
          <w:sz w:val="22"/>
          <w:u w:val="single"/>
        </w:rPr>
      </w:pPr>
      <w:r w:rsidRPr="006849C3">
        <w:rPr>
          <w:rFonts w:asciiTheme="majorHAnsi" w:hAnsiTheme="majorHAnsi" w:cstheme="majorHAnsi"/>
          <w:b/>
          <w:sz w:val="22"/>
          <w:u w:val="single"/>
        </w:rPr>
        <w:t>References</w:t>
      </w:r>
    </w:p>
    <w:p w14:paraId="4F518F94" w14:textId="77777777" w:rsidR="00FE4F31" w:rsidRPr="006849C3" w:rsidRDefault="00FE4F31" w:rsidP="00FE4F31">
      <w:pPr>
        <w:rPr>
          <w:rFonts w:asciiTheme="majorHAnsi" w:hAnsiTheme="majorHAnsi" w:cstheme="majorHAnsi"/>
          <w:b/>
          <w:sz w:val="22"/>
        </w:rPr>
      </w:pPr>
    </w:p>
    <w:p w14:paraId="06FE0732" w14:textId="027CA263" w:rsidR="00FE4F31" w:rsidRPr="006849C3" w:rsidRDefault="00115FF8" w:rsidP="00882002">
      <w:pPr>
        <w:rPr>
          <w:rFonts w:asciiTheme="majorHAnsi" w:hAnsiTheme="majorHAnsi" w:cstheme="majorHAnsi"/>
          <w:i/>
          <w:sz w:val="22"/>
        </w:rPr>
      </w:pPr>
      <w:r w:rsidRPr="006849C3">
        <w:rPr>
          <w:rFonts w:asciiTheme="majorHAnsi" w:hAnsiTheme="majorHAnsi" w:cstheme="majorHAnsi"/>
          <w:i/>
          <w:sz w:val="22"/>
        </w:rPr>
        <w:t>Global Co</w:t>
      </w:r>
      <w:r w:rsidR="00FE4F31" w:rsidRPr="006849C3">
        <w:rPr>
          <w:rFonts w:asciiTheme="majorHAnsi" w:hAnsiTheme="majorHAnsi" w:cstheme="majorHAnsi"/>
          <w:i/>
          <w:sz w:val="22"/>
        </w:rPr>
        <w:t xml:space="preserve">nsumption and Income Project. (2019). Visualisation of the Global Income Distribution since 1980. Retrieved from </w:t>
      </w:r>
      <w:hyperlink r:id="rId10" w:history="1">
        <w:r w:rsidR="00FE4F31" w:rsidRPr="006849C3">
          <w:rPr>
            <w:rStyle w:val="Hyperlink"/>
            <w:rFonts w:asciiTheme="majorHAnsi" w:hAnsiTheme="majorHAnsi" w:cstheme="majorHAnsi"/>
            <w:i/>
            <w:color w:val="auto"/>
            <w:sz w:val="22"/>
          </w:rPr>
          <w:t>https://jackblun.github.io/Globalinc/</w:t>
        </w:r>
      </w:hyperlink>
      <w:r w:rsidR="00FE4F31" w:rsidRPr="006849C3">
        <w:rPr>
          <w:rFonts w:asciiTheme="majorHAnsi" w:hAnsiTheme="majorHAnsi" w:cstheme="majorHAnsi"/>
          <w:i/>
          <w:sz w:val="22"/>
        </w:rPr>
        <w:t xml:space="preserve"> [Accessed 30</w:t>
      </w:r>
      <w:r w:rsidR="00FE4F31" w:rsidRPr="006849C3">
        <w:rPr>
          <w:rFonts w:asciiTheme="majorHAnsi" w:hAnsiTheme="majorHAnsi" w:cstheme="majorHAnsi"/>
          <w:i/>
          <w:sz w:val="22"/>
          <w:vertAlign w:val="superscript"/>
        </w:rPr>
        <w:t>th</w:t>
      </w:r>
      <w:r w:rsidR="00FE4F31" w:rsidRPr="006849C3">
        <w:rPr>
          <w:rFonts w:asciiTheme="majorHAnsi" w:hAnsiTheme="majorHAnsi" w:cstheme="majorHAnsi"/>
          <w:i/>
          <w:sz w:val="22"/>
        </w:rPr>
        <w:t xml:space="preserve"> November 2022]</w:t>
      </w:r>
    </w:p>
    <w:p w14:paraId="211F8A28" w14:textId="77777777" w:rsidR="00882002" w:rsidRPr="006849C3" w:rsidRDefault="00882002" w:rsidP="00882002">
      <w:pPr>
        <w:rPr>
          <w:rFonts w:asciiTheme="majorHAnsi" w:hAnsiTheme="majorHAnsi" w:cstheme="majorHAnsi"/>
          <w:i/>
          <w:sz w:val="22"/>
        </w:rPr>
      </w:pPr>
    </w:p>
    <w:p w14:paraId="5A66C841" w14:textId="5DEB260C" w:rsidR="00FE4F31" w:rsidRPr="006849C3" w:rsidRDefault="00FE4F31" w:rsidP="00882002">
      <w:pPr>
        <w:rPr>
          <w:rFonts w:asciiTheme="majorHAnsi" w:hAnsiTheme="majorHAnsi" w:cstheme="majorHAnsi"/>
          <w:i/>
          <w:sz w:val="22"/>
        </w:rPr>
      </w:pPr>
      <w:r w:rsidRPr="006849C3">
        <w:rPr>
          <w:rFonts w:asciiTheme="majorHAnsi" w:hAnsiTheme="majorHAnsi" w:cstheme="majorHAnsi"/>
          <w:i/>
          <w:sz w:val="22"/>
        </w:rPr>
        <w:t xml:space="preserve">World Consumer Spending (1970-2022). Retrieved from </w:t>
      </w:r>
      <w:hyperlink r:id="rId11" w:history="1">
        <w:r w:rsidRPr="006849C3">
          <w:rPr>
            <w:rStyle w:val="Hyperlink"/>
            <w:rFonts w:asciiTheme="majorHAnsi" w:hAnsiTheme="majorHAnsi" w:cstheme="majorHAnsi"/>
            <w:i/>
            <w:color w:val="auto"/>
            <w:sz w:val="22"/>
          </w:rPr>
          <w:t>https://www.macrotrends.net/countries/WLD/world/consumer-spending</w:t>
        </w:r>
      </w:hyperlink>
      <w:r w:rsidRPr="006849C3">
        <w:rPr>
          <w:rFonts w:asciiTheme="majorHAnsi" w:hAnsiTheme="majorHAnsi" w:cstheme="majorHAnsi"/>
          <w:i/>
          <w:sz w:val="22"/>
        </w:rPr>
        <w:t xml:space="preserve"> [Accessed 30th </w:t>
      </w:r>
      <w:r w:rsidR="00DA597D" w:rsidRPr="006849C3">
        <w:rPr>
          <w:rFonts w:asciiTheme="majorHAnsi" w:hAnsiTheme="majorHAnsi" w:cstheme="majorHAnsi"/>
          <w:i/>
          <w:sz w:val="22"/>
        </w:rPr>
        <w:t>November</w:t>
      </w:r>
      <w:r w:rsidRPr="006849C3">
        <w:rPr>
          <w:rFonts w:asciiTheme="majorHAnsi" w:hAnsiTheme="majorHAnsi" w:cstheme="majorHAnsi"/>
          <w:i/>
          <w:sz w:val="22"/>
        </w:rPr>
        <w:t xml:space="preserve"> 2022]</w:t>
      </w:r>
    </w:p>
    <w:p w14:paraId="341D3D35" w14:textId="2E9AD132" w:rsidR="00FE4F31" w:rsidRPr="006849C3" w:rsidRDefault="00FE4F31" w:rsidP="00882002">
      <w:pPr>
        <w:pStyle w:val="NormalWeb"/>
        <w:rPr>
          <w:rFonts w:asciiTheme="majorHAnsi" w:hAnsiTheme="majorHAnsi" w:cstheme="majorHAnsi"/>
          <w:sz w:val="22"/>
        </w:rPr>
      </w:pPr>
      <w:r w:rsidRPr="006849C3">
        <w:rPr>
          <w:rFonts w:asciiTheme="majorHAnsi" w:hAnsiTheme="majorHAnsi" w:cstheme="majorHAnsi"/>
          <w:sz w:val="22"/>
        </w:rPr>
        <w:t xml:space="preserve">Attanasio, O. and Pistaferri, L. (2016) </w:t>
      </w:r>
      <w:r w:rsidRPr="006849C3">
        <w:rPr>
          <w:rFonts w:asciiTheme="majorHAnsi" w:hAnsiTheme="majorHAnsi" w:cstheme="majorHAnsi"/>
          <w:i/>
          <w:iCs/>
          <w:sz w:val="22"/>
        </w:rPr>
        <w:t>American Economic Association</w:t>
      </w:r>
      <w:r w:rsidRPr="006849C3">
        <w:rPr>
          <w:rFonts w:asciiTheme="majorHAnsi" w:hAnsiTheme="majorHAnsi" w:cstheme="majorHAnsi"/>
          <w:sz w:val="22"/>
        </w:rPr>
        <w:t xml:space="preserve">. Available at: https://pubs.aeaweb.org/doi/pdfplus/10.1257/jep.30.2.3 </w:t>
      </w:r>
    </w:p>
    <w:p w14:paraId="60C1DAB1" w14:textId="65E21DB7" w:rsidR="00FE4F31" w:rsidRPr="006849C3" w:rsidRDefault="00FE4F31" w:rsidP="00882002">
      <w:pPr>
        <w:spacing w:before="100" w:beforeAutospacing="1" w:after="100" w:afterAutospacing="1"/>
        <w:rPr>
          <w:rFonts w:asciiTheme="majorHAnsi" w:hAnsiTheme="majorHAnsi" w:cstheme="majorHAnsi"/>
          <w:i/>
          <w:sz w:val="22"/>
          <w:szCs w:val="22"/>
        </w:rPr>
      </w:pPr>
      <w:r w:rsidRPr="006849C3">
        <w:rPr>
          <w:rFonts w:asciiTheme="majorHAnsi" w:hAnsiTheme="majorHAnsi" w:cstheme="majorHAnsi"/>
          <w:i/>
          <w:sz w:val="22"/>
          <w:szCs w:val="22"/>
        </w:rPr>
        <w:t xml:space="preserve">London School of Economics and Political Science - </w:t>
      </w:r>
      <w:r w:rsidRPr="006849C3">
        <w:rPr>
          <w:rFonts w:asciiTheme="majorHAnsi" w:hAnsiTheme="majorHAnsi" w:cstheme="majorHAnsi"/>
          <w:i/>
          <w:iCs/>
          <w:sz w:val="22"/>
          <w:szCs w:val="22"/>
        </w:rPr>
        <w:t>How poverty affects people's decision-making processes</w:t>
      </w:r>
      <w:r w:rsidRPr="006849C3">
        <w:rPr>
          <w:rFonts w:asciiTheme="majorHAnsi" w:hAnsiTheme="majorHAnsi" w:cstheme="majorHAnsi"/>
          <w:i/>
          <w:sz w:val="22"/>
          <w:szCs w:val="22"/>
        </w:rPr>
        <w:t xml:space="preserve"> (2017). Available at: https://www.lse.ac.uk/PBS/Research/Research-Articles/How-poverty-affects-peoples-decision-making-processes </w:t>
      </w:r>
    </w:p>
    <w:p w14:paraId="65641726" w14:textId="77777777" w:rsidR="00882002" w:rsidRPr="006849C3" w:rsidRDefault="00FE4F31" w:rsidP="00882002">
      <w:pPr>
        <w:spacing w:before="100" w:beforeAutospacing="1" w:after="100" w:afterAutospacing="1"/>
        <w:rPr>
          <w:rFonts w:asciiTheme="majorHAnsi" w:hAnsiTheme="majorHAnsi" w:cstheme="majorHAnsi"/>
          <w:sz w:val="22"/>
          <w:szCs w:val="20"/>
        </w:rPr>
      </w:pPr>
      <w:r w:rsidRPr="006849C3">
        <w:rPr>
          <w:rFonts w:asciiTheme="majorHAnsi" w:hAnsiTheme="majorHAnsi" w:cstheme="majorHAnsi"/>
          <w:sz w:val="22"/>
          <w:szCs w:val="20"/>
        </w:rPr>
        <w:t xml:space="preserve">Layard, R. (2008) </w:t>
      </w:r>
      <w:r w:rsidRPr="006849C3">
        <w:rPr>
          <w:rFonts w:asciiTheme="majorHAnsi" w:hAnsiTheme="majorHAnsi" w:cstheme="majorHAnsi"/>
          <w:i/>
          <w:iCs/>
          <w:sz w:val="22"/>
          <w:szCs w:val="20"/>
        </w:rPr>
        <w:t>Economic growth and subjecti</w:t>
      </w:r>
      <w:r w:rsidR="00DA597D" w:rsidRPr="006849C3">
        <w:rPr>
          <w:rFonts w:asciiTheme="majorHAnsi" w:hAnsiTheme="majorHAnsi" w:cstheme="majorHAnsi"/>
          <w:i/>
          <w:iCs/>
          <w:sz w:val="22"/>
          <w:szCs w:val="20"/>
        </w:rPr>
        <w:t>ve well-being: Reassessing the E</w:t>
      </w:r>
      <w:r w:rsidRPr="006849C3">
        <w:rPr>
          <w:rFonts w:asciiTheme="majorHAnsi" w:hAnsiTheme="majorHAnsi" w:cstheme="majorHAnsi"/>
          <w:i/>
          <w:iCs/>
          <w:sz w:val="22"/>
          <w:szCs w:val="20"/>
        </w:rPr>
        <w:t>asterlin ...</w:t>
      </w:r>
      <w:r w:rsidRPr="006849C3">
        <w:rPr>
          <w:rFonts w:asciiTheme="majorHAnsi" w:hAnsiTheme="majorHAnsi" w:cstheme="majorHAnsi"/>
          <w:sz w:val="22"/>
          <w:szCs w:val="20"/>
        </w:rPr>
        <w:t xml:space="preserve"> Available at: http://users.nber.org/~jwolfe</w:t>
      </w:r>
      <w:r w:rsidR="005C54EB" w:rsidRPr="006849C3">
        <w:rPr>
          <w:rFonts w:asciiTheme="majorHAnsi" w:hAnsiTheme="majorHAnsi" w:cstheme="majorHAnsi"/>
          <w:sz w:val="22"/>
          <w:szCs w:val="20"/>
        </w:rPr>
        <w:t xml:space="preserve">rs/papers/EasterlinParadox.pdf </w:t>
      </w:r>
    </w:p>
    <w:p w14:paraId="5550D631" w14:textId="45D7083E" w:rsidR="00985F24" w:rsidRPr="006849C3" w:rsidRDefault="00985F24" w:rsidP="00882002">
      <w:pPr>
        <w:spacing w:before="100" w:beforeAutospacing="1" w:after="100" w:afterAutospacing="1"/>
        <w:rPr>
          <w:rFonts w:asciiTheme="majorHAnsi" w:hAnsiTheme="majorHAnsi" w:cstheme="majorHAnsi"/>
          <w:sz w:val="22"/>
          <w:szCs w:val="20"/>
        </w:rPr>
      </w:pPr>
      <w:r w:rsidRPr="006849C3">
        <w:rPr>
          <w:rFonts w:asciiTheme="majorHAnsi" w:hAnsiTheme="majorHAnsi" w:cstheme="majorHAnsi"/>
          <w:sz w:val="22"/>
          <w:szCs w:val="20"/>
        </w:rPr>
        <w:t xml:space="preserve">Carlin, W. </w:t>
      </w:r>
      <w:r w:rsidRPr="006849C3">
        <w:rPr>
          <w:rFonts w:asciiTheme="majorHAnsi" w:hAnsiTheme="majorHAnsi" w:cstheme="majorHAnsi"/>
          <w:i/>
          <w:iCs/>
          <w:sz w:val="22"/>
          <w:szCs w:val="20"/>
        </w:rPr>
        <w:t>et al.</w:t>
      </w:r>
      <w:r w:rsidRPr="006849C3">
        <w:rPr>
          <w:rFonts w:asciiTheme="majorHAnsi" w:hAnsiTheme="majorHAnsi" w:cstheme="majorHAnsi"/>
          <w:sz w:val="22"/>
          <w:szCs w:val="20"/>
        </w:rPr>
        <w:t xml:space="preserve"> (2019) </w:t>
      </w:r>
      <w:r w:rsidRPr="006849C3">
        <w:rPr>
          <w:rFonts w:asciiTheme="majorHAnsi" w:hAnsiTheme="majorHAnsi" w:cstheme="majorHAnsi"/>
          <w:i/>
          <w:iCs/>
          <w:sz w:val="22"/>
          <w:szCs w:val="20"/>
        </w:rPr>
        <w:t>4. Work, wellbeing, and scarcity</w:t>
      </w:r>
      <w:r w:rsidRPr="006849C3">
        <w:rPr>
          <w:rFonts w:asciiTheme="majorHAnsi" w:hAnsiTheme="majorHAnsi" w:cstheme="majorHAnsi"/>
          <w:sz w:val="22"/>
          <w:szCs w:val="20"/>
        </w:rPr>
        <w:t xml:space="preserve">, </w:t>
      </w:r>
      <w:r w:rsidRPr="006849C3">
        <w:rPr>
          <w:rFonts w:asciiTheme="majorHAnsi" w:hAnsiTheme="majorHAnsi" w:cstheme="majorHAnsi"/>
          <w:i/>
          <w:iCs/>
          <w:sz w:val="22"/>
          <w:szCs w:val="20"/>
        </w:rPr>
        <w:t>4. Work, wellbeing, and scarcity – Economy, Society, and Public Policy</w:t>
      </w:r>
      <w:r w:rsidRPr="006849C3">
        <w:rPr>
          <w:rFonts w:asciiTheme="majorHAnsi" w:hAnsiTheme="majorHAnsi" w:cstheme="majorHAnsi"/>
          <w:sz w:val="22"/>
          <w:szCs w:val="20"/>
        </w:rPr>
        <w:t xml:space="preserve">. Available at: https://www.core-econ.org/espp/book/text/04.html#414-work-and-wellbeing-as-a-social-dilemma </w:t>
      </w:r>
    </w:p>
    <w:p w14:paraId="07EF9A3C" w14:textId="1D74A23D" w:rsidR="00FE4F31" w:rsidRPr="006849C3" w:rsidRDefault="0038560F" w:rsidP="00882002">
      <w:pPr>
        <w:rPr>
          <w:rFonts w:asciiTheme="majorHAnsi" w:hAnsiTheme="majorHAnsi" w:cstheme="majorHAnsi"/>
          <w:i/>
          <w:sz w:val="22"/>
        </w:rPr>
      </w:pPr>
      <w:r w:rsidRPr="006849C3">
        <w:rPr>
          <w:rFonts w:asciiTheme="majorHAnsi" w:hAnsiTheme="majorHAnsi" w:cstheme="majorHAnsi"/>
          <w:i/>
          <w:sz w:val="22"/>
        </w:rPr>
        <w:t xml:space="preserve">Tambunan (2017) as cited by Handriyani. R et al (2018) Analysis The Effect Of Household Consumption Expenditure, Investment And </w:t>
      </w:r>
      <w:r w:rsidR="00DA597D" w:rsidRPr="006849C3">
        <w:rPr>
          <w:rFonts w:asciiTheme="majorHAnsi" w:hAnsiTheme="majorHAnsi" w:cstheme="majorHAnsi"/>
          <w:i/>
          <w:sz w:val="22"/>
        </w:rPr>
        <w:t>Labour</w:t>
      </w:r>
      <w:r w:rsidRPr="006849C3">
        <w:rPr>
          <w:rFonts w:asciiTheme="majorHAnsi" w:hAnsiTheme="majorHAnsi" w:cstheme="majorHAnsi"/>
          <w:i/>
          <w:sz w:val="22"/>
        </w:rPr>
        <w:t xml:space="preserve"> To Economic Growth: A Case In Province</w:t>
      </w:r>
      <w:r w:rsidR="00EC69FD">
        <w:rPr>
          <w:rFonts w:asciiTheme="majorHAnsi" w:hAnsiTheme="majorHAnsi" w:cstheme="majorHAnsi"/>
          <w:i/>
          <w:sz w:val="22"/>
        </w:rPr>
        <w:t xml:space="preserve"> Of North Sumatra. Available at: </w:t>
      </w:r>
      <w:hyperlink r:id="rId12" w:history="1">
        <w:r w:rsidRPr="009A4DF0">
          <w:rPr>
            <w:rStyle w:val="Hyperlink"/>
            <w:rFonts w:asciiTheme="majorHAnsi" w:hAnsiTheme="majorHAnsi" w:cstheme="majorHAnsi"/>
            <w:i/>
            <w:color w:val="auto"/>
            <w:sz w:val="22"/>
            <w:u w:val="none"/>
          </w:rPr>
          <w:t>https://sciendo.com/downloadpdf/journals/sues/28/4/article-p45.pdf</w:t>
        </w:r>
      </w:hyperlink>
      <w:r w:rsidRPr="006849C3">
        <w:rPr>
          <w:rFonts w:asciiTheme="majorHAnsi" w:hAnsiTheme="majorHAnsi" w:cstheme="majorHAnsi"/>
          <w:i/>
          <w:sz w:val="22"/>
        </w:rPr>
        <w:t xml:space="preserve"> </w:t>
      </w:r>
    </w:p>
    <w:p w14:paraId="7D661E12" w14:textId="1860C000" w:rsidR="0038560F" w:rsidRPr="006849C3" w:rsidRDefault="0038560F" w:rsidP="00882002">
      <w:pPr>
        <w:spacing w:before="100" w:beforeAutospacing="1" w:after="100" w:afterAutospacing="1"/>
        <w:rPr>
          <w:rFonts w:asciiTheme="majorHAnsi" w:hAnsiTheme="majorHAnsi" w:cstheme="majorHAnsi"/>
          <w:sz w:val="22"/>
          <w:szCs w:val="20"/>
        </w:rPr>
      </w:pPr>
      <w:r w:rsidRPr="006849C3">
        <w:rPr>
          <w:rFonts w:asciiTheme="majorHAnsi" w:hAnsiTheme="majorHAnsi" w:cstheme="majorHAnsi"/>
          <w:sz w:val="22"/>
          <w:szCs w:val="20"/>
        </w:rPr>
        <w:t xml:space="preserve">Mishra, P.K. (2011) </w:t>
      </w:r>
      <w:r w:rsidRPr="006849C3">
        <w:rPr>
          <w:rFonts w:asciiTheme="majorHAnsi" w:hAnsiTheme="majorHAnsi" w:cstheme="majorHAnsi"/>
          <w:i/>
          <w:iCs/>
          <w:sz w:val="22"/>
          <w:szCs w:val="20"/>
        </w:rPr>
        <w:t>Dynamics of the relationship between real consumption expenditure and ...</w:t>
      </w:r>
      <w:r w:rsidRPr="006849C3">
        <w:rPr>
          <w:rFonts w:asciiTheme="majorHAnsi" w:hAnsiTheme="majorHAnsi" w:cstheme="majorHAnsi"/>
          <w:sz w:val="22"/>
          <w:szCs w:val="20"/>
        </w:rPr>
        <w:t xml:space="preserve"> Available at: http://www.ashwinanokha.com/resources/1328945436--10.pd</w:t>
      </w:r>
      <w:r w:rsidR="00E83C35" w:rsidRPr="006849C3">
        <w:rPr>
          <w:rFonts w:asciiTheme="majorHAnsi" w:hAnsiTheme="majorHAnsi" w:cstheme="majorHAnsi"/>
          <w:sz w:val="22"/>
          <w:szCs w:val="20"/>
        </w:rPr>
        <w:t xml:space="preserve">f </w:t>
      </w:r>
    </w:p>
    <w:p w14:paraId="78AEDF1B" w14:textId="054A8F1B" w:rsidR="00EA4081" w:rsidRPr="006849C3" w:rsidRDefault="00EA4081" w:rsidP="00882002">
      <w:pPr>
        <w:spacing w:before="100" w:beforeAutospacing="1" w:after="100" w:afterAutospacing="1"/>
        <w:rPr>
          <w:rFonts w:asciiTheme="majorHAnsi" w:hAnsiTheme="majorHAnsi" w:cstheme="majorHAnsi"/>
          <w:sz w:val="22"/>
          <w:szCs w:val="20"/>
        </w:rPr>
      </w:pPr>
      <w:r w:rsidRPr="006849C3">
        <w:rPr>
          <w:rFonts w:asciiTheme="majorHAnsi" w:hAnsiTheme="majorHAnsi" w:cstheme="majorHAnsi"/>
          <w:sz w:val="22"/>
          <w:szCs w:val="20"/>
        </w:rPr>
        <w:t xml:space="preserve">Kaldor (1960) as cited by Lahouij, H. (2017) </w:t>
      </w:r>
      <w:r w:rsidRPr="006849C3">
        <w:rPr>
          <w:rFonts w:asciiTheme="majorHAnsi" w:hAnsiTheme="majorHAnsi" w:cstheme="majorHAnsi"/>
          <w:i/>
          <w:iCs/>
          <w:sz w:val="22"/>
          <w:szCs w:val="20"/>
        </w:rPr>
        <w:t>The effects of income inequality on economic growth evidence ... - core</w:t>
      </w:r>
      <w:r w:rsidRPr="006849C3">
        <w:rPr>
          <w:rFonts w:asciiTheme="majorHAnsi" w:hAnsiTheme="majorHAnsi" w:cstheme="majorHAnsi"/>
          <w:sz w:val="22"/>
          <w:szCs w:val="20"/>
        </w:rPr>
        <w:t xml:space="preserve">. Available at: https://core.ac.uk/download/pdf/154553817.pdf </w:t>
      </w:r>
    </w:p>
    <w:p w14:paraId="0AF9ECB8" w14:textId="43C1FB27" w:rsidR="00EA4081" w:rsidRDefault="00EA4081" w:rsidP="00882002">
      <w:pPr>
        <w:spacing w:before="100" w:beforeAutospacing="1" w:after="100" w:afterAutospacing="1"/>
        <w:rPr>
          <w:rFonts w:asciiTheme="majorHAnsi" w:hAnsiTheme="majorHAnsi" w:cstheme="majorHAnsi"/>
          <w:sz w:val="22"/>
          <w:szCs w:val="20"/>
        </w:rPr>
      </w:pPr>
      <w:proofErr w:type="spellStart"/>
      <w:r w:rsidRPr="006849C3">
        <w:rPr>
          <w:rFonts w:asciiTheme="majorHAnsi" w:hAnsiTheme="majorHAnsi" w:cstheme="majorHAnsi"/>
          <w:i/>
          <w:sz w:val="22"/>
        </w:rPr>
        <w:lastRenderedPageBreak/>
        <w:t>Ku</w:t>
      </w:r>
      <w:r w:rsidR="00DA597D" w:rsidRPr="006849C3">
        <w:rPr>
          <w:rFonts w:asciiTheme="majorHAnsi" w:hAnsiTheme="majorHAnsi" w:cstheme="majorHAnsi"/>
          <w:i/>
          <w:sz w:val="22"/>
        </w:rPr>
        <w:t>znet</w:t>
      </w:r>
      <w:proofErr w:type="spellEnd"/>
      <w:r w:rsidR="00B438B2">
        <w:rPr>
          <w:rFonts w:asciiTheme="majorHAnsi" w:hAnsiTheme="majorHAnsi" w:cstheme="majorHAnsi"/>
          <w:i/>
          <w:sz w:val="22"/>
        </w:rPr>
        <w:t xml:space="preserve"> (1955)</w:t>
      </w:r>
      <w:r w:rsidRPr="006849C3">
        <w:rPr>
          <w:rFonts w:asciiTheme="majorHAnsi" w:hAnsiTheme="majorHAnsi" w:cstheme="majorHAnsi"/>
          <w:i/>
          <w:sz w:val="22"/>
        </w:rPr>
        <w:t xml:space="preserve"> as cited </w:t>
      </w:r>
      <w:r w:rsidRPr="006849C3">
        <w:rPr>
          <w:rFonts w:asciiTheme="majorHAnsi" w:hAnsiTheme="majorHAnsi" w:cstheme="majorHAnsi"/>
          <w:sz w:val="22"/>
          <w:szCs w:val="20"/>
        </w:rPr>
        <w:t xml:space="preserve">by Lahouij, H. (2017) </w:t>
      </w:r>
      <w:proofErr w:type="gramStart"/>
      <w:r w:rsidRPr="006849C3">
        <w:rPr>
          <w:rFonts w:asciiTheme="majorHAnsi" w:hAnsiTheme="majorHAnsi" w:cstheme="majorHAnsi"/>
          <w:i/>
          <w:iCs/>
          <w:sz w:val="22"/>
          <w:szCs w:val="20"/>
        </w:rPr>
        <w:t>The</w:t>
      </w:r>
      <w:proofErr w:type="gramEnd"/>
      <w:r w:rsidRPr="006849C3">
        <w:rPr>
          <w:rFonts w:asciiTheme="majorHAnsi" w:hAnsiTheme="majorHAnsi" w:cstheme="majorHAnsi"/>
          <w:i/>
          <w:iCs/>
          <w:sz w:val="22"/>
          <w:szCs w:val="20"/>
        </w:rPr>
        <w:t xml:space="preserve"> effects of income inequality on economic growth evidence ... - core</w:t>
      </w:r>
      <w:r w:rsidRPr="006849C3">
        <w:rPr>
          <w:rFonts w:asciiTheme="majorHAnsi" w:hAnsiTheme="majorHAnsi" w:cstheme="majorHAnsi"/>
          <w:sz w:val="22"/>
          <w:szCs w:val="20"/>
        </w:rPr>
        <w:t xml:space="preserve">. Available at: </w:t>
      </w:r>
      <w:hyperlink r:id="rId13" w:history="1">
        <w:r w:rsidR="001C0328" w:rsidRPr="007B5AEE">
          <w:rPr>
            <w:rStyle w:val="Hyperlink"/>
            <w:rFonts w:asciiTheme="majorHAnsi" w:hAnsiTheme="majorHAnsi" w:cstheme="majorHAnsi"/>
            <w:sz w:val="22"/>
            <w:szCs w:val="20"/>
          </w:rPr>
          <w:t>https://core.ac.uk/download/pdf/154553817.pdf</w:t>
        </w:r>
      </w:hyperlink>
    </w:p>
    <w:p w14:paraId="40F98561" w14:textId="6E48E7C3" w:rsidR="000770CE" w:rsidRPr="000770CE" w:rsidRDefault="000770CE" w:rsidP="000770CE">
      <w:pPr>
        <w:spacing w:before="100" w:beforeAutospacing="1" w:after="100" w:afterAutospacing="1"/>
        <w:rPr>
          <w:rFonts w:asciiTheme="majorHAnsi" w:hAnsiTheme="majorHAnsi" w:cs="Times New Roman"/>
          <w:i/>
          <w:sz w:val="22"/>
          <w:szCs w:val="22"/>
        </w:rPr>
      </w:pPr>
      <w:r w:rsidRPr="000770CE">
        <w:rPr>
          <w:rFonts w:asciiTheme="majorHAnsi" w:hAnsiTheme="majorHAnsi" w:cs="Times New Roman"/>
          <w:i/>
          <w:sz w:val="22"/>
          <w:szCs w:val="22"/>
        </w:rPr>
        <w:t xml:space="preserve">Walasek, L. and Brown, G.D.A. (2015) </w:t>
      </w:r>
      <w:r w:rsidRPr="000770CE">
        <w:rPr>
          <w:rFonts w:asciiTheme="majorHAnsi" w:hAnsiTheme="majorHAnsi" w:cs="Times New Roman"/>
          <w:i/>
          <w:iCs/>
          <w:sz w:val="22"/>
          <w:szCs w:val="22"/>
        </w:rPr>
        <w:t xml:space="preserve">Income inequality, income, and </w:t>
      </w:r>
      <w:proofErr w:type="gramStart"/>
      <w:r w:rsidRPr="000770CE">
        <w:rPr>
          <w:rFonts w:asciiTheme="majorHAnsi" w:hAnsiTheme="majorHAnsi" w:cs="Times New Roman"/>
          <w:i/>
          <w:iCs/>
          <w:sz w:val="22"/>
          <w:szCs w:val="22"/>
        </w:rPr>
        <w:t>internet</w:t>
      </w:r>
      <w:proofErr w:type="gramEnd"/>
      <w:r w:rsidRPr="000770CE">
        <w:rPr>
          <w:rFonts w:asciiTheme="majorHAnsi" w:hAnsiTheme="majorHAnsi" w:cs="Times New Roman"/>
          <w:i/>
          <w:iCs/>
          <w:sz w:val="22"/>
          <w:szCs w:val="22"/>
        </w:rPr>
        <w:t xml:space="preserve"> searches for status goods: A cross-national study of the association between inequality and well-being - social indicators research</w:t>
      </w:r>
      <w:r w:rsidRPr="000770CE">
        <w:rPr>
          <w:rFonts w:asciiTheme="majorHAnsi" w:hAnsiTheme="majorHAnsi" w:cs="Times New Roman"/>
          <w:i/>
          <w:sz w:val="22"/>
          <w:szCs w:val="22"/>
        </w:rPr>
        <w:t xml:space="preserve">, </w:t>
      </w:r>
      <w:proofErr w:type="spellStart"/>
      <w:r w:rsidRPr="000770CE">
        <w:rPr>
          <w:rFonts w:asciiTheme="majorHAnsi" w:hAnsiTheme="majorHAnsi" w:cs="Times New Roman"/>
          <w:i/>
          <w:iCs/>
          <w:sz w:val="22"/>
          <w:szCs w:val="22"/>
        </w:rPr>
        <w:t>SpringerLink</w:t>
      </w:r>
      <w:proofErr w:type="spellEnd"/>
      <w:r w:rsidRPr="000770CE">
        <w:rPr>
          <w:rFonts w:asciiTheme="majorHAnsi" w:hAnsiTheme="majorHAnsi" w:cs="Times New Roman"/>
          <w:i/>
          <w:sz w:val="22"/>
          <w:szCs w:val="22"/>
        </w:rPr>
        <w:t>. Springer Netherlands. Available at: https://link.springer.com/art</w:t>
      </w:r>
      <w:r>
        <w:rPr>
          <w:rFonts w:asciiTheme="majorHAnsi" w:hAnsiTheme="majorHAnsi" w:cs="Times New Roman"/>
          <w:i/>
          <w:sz w:val="22"/>
          <w:szCs w:val="22"/>
        </w:rPr>
        <w:t xml:space="preserve">icle/10.1007/s11205-015-1158-4 </w:t>
      </w:r>
      <w:r w:rsidRPr="000770CE">
        <w:rPr>
          <w:rFonts w:asciiTheme="majorHAnsi" w:hAnsiTheme="majorHAnsi" w:cs="Times New Roman"/>
          <w:i/>
          <w:sz w:val="22"/>
          <w:szCs w:val="22"/>
        </w:rPr>
        <w:t xml:space="preserve"> </w:t>
      </w:r>
    </w:p>
    <w:p w14:paraId="01614336" w14:textId="0B5C253E" w:rsidR="000770CE" w:rsidRDefault="000770CE" w:rsidP="000770CE">
      <w:pPr>
        <w:spacing w:before="100" w:beforeAutospacing="1" w:after="100" w:afterAutospacing="1"/>
        <w:rPr>
          <w:rFonts w:asciiTheme="majorHAnsi" w:hAnsiTheme="majorHAnsi" w:cs="Times New Roman"/>
          <w:i/>
          <w:sz w:val="22"/>
          <w:szCs w:val="22"/>
        </w:rPr>
      </w:pPr>
      <w:r>
        <w:rPr>
          <w:rFonts w:asciiTheme="majorHAnsi" w:hAnsiTheme="majorHAnsi" w:cs="Times New Roman"/>
          <w:i/>
          <w:sz w:val="22"/>
          <w:szCs w:val="22"/>
        </w:rPr>
        <w:t xml:space="preserve">Bowels and Park (2005) as cited by </w:t>
      </w:r>
      <w:r w:rsidRPr="000770CE">
        <w:rPr>
          <w:rFonts w:asciiTheme="majorHAnsi" w:hAnsiTheme="majorHAnsi" w:cs="Times New Roman"/>
          <w:i/>
          <w:sz w:val="22"/>
          <w:szCs w:val="22"/>
        </w:rPr>
        <w:t xml:space="preserve">Walasek, L. and Brown, G.D.A. (2015) </w:t>
      </w:r>
      <w:r w:rsidRPr="000770CE">
        <w:rPr>
          <w:rFonts w:asciiTheme="majorHAnsi" w:hAnsiTheme="majorHAnsi" w:cs="Times New Roman"/>
          <w:i/>
          <w:iCs/>
          <w:sz w:val="22"/>
          <w:szCs w:val="22"/>
        </w:rPr>
        <w:t>Income inequality, income, and internet searches for status goods: A cross-national study of the association between inequality and well-being - social indicators research</w:t>
      </w:r>
      <w:r w:rsidRPr="000770CE">
        <w:rPr>
          <w:rFonts w:asciiTheme="majorHAnsi" w:hAnsiTheme="majorHAnsi" w:cs="Times New Roman"/>
          <w:i/>
          <w:sz w:val="22"/>
          <w:szCs w:val="22"/>
        </w:rPr>
        <w:t xml:space="preserve">, </w:t>
      </w:r>
      <w:proofErr w:type="spellStart"/>
      <w:r w:rsidRPr="000770CE">
        <w:rPr>
          <w:rFonts w:asciiTheme="majorHAnsi" w:hAnsiTheme="majorHAnsi" w:cs="Times New Roman"/>
          <w:i/>
          <w:iCs/>
          <w:sz w:val="22"/>
          <w:szCs w:val="22"/>
        </w:rPr>
        <w:t>SpringerLink</w:t>
      </w:r>
      <w:proofErr w:type="spellEnd"/>
      <w:r w:rsidRPr="000770CE">
        <w:rPr>
          <w:rFonts w:asciiTheme="majorHAnsi" w:hAnsiTheme="majorHAnsi" w:cs="Times New Roman"/>
          <w:i/>
          <w:sz w:val="22"/>
          <w:szCs w:val="22"/>
        </w:rPr>
        <w:t>. Springer Netherlands. Available at: https://link.springer.com/art</w:t>
      </w:r>
      <w:r>
        <w:rPr>
          <w:rFonts w:asciiTheme="majorHAnsi" w:hAnsiTheme="majorHAnsi" w:cs="Times New Roman"/>
          <w:i/>
          <w:sz w:val="22"/>
          <w:szCs w:val="22"/>
        </w:rPr>
        <w:t xml:space="preserve">icle/10.1007/s11205-015-1158-4 </w:t>
      </w:r>
      <w:r w:rsidRPr="000770CE">
        <w:rPr>
          <w:rFonts w:asciiTheme="majorHAnsi" w:hAnsiTheme="majorHAnsi" w:cs="Times New Roman"/>
          <w:i/>
          <w:sz w:val="22"/>
          <w:szCs w:val="22"/>
        </w:rPr>
        <w:t xml:space="preserve"> </w:t>
      </w:r>
    </w:p>
    <w:p w14:paraId="4CB3D987" w14:textId="7B39500B" w:rsidR="009A4DF0" w:rsidRPr="009A4DF0" w:rsidRDefault="009A4DF0" w:rsidP="009A4DF0">
      <w:pPr>
        <w:spacing w:before="100" w:beforeAutospacing="1" w:after="100" w:afterAutospacing="1"/>
        <w:rPr>
          <w:rFonts w:asciiTheme="majorHAnsi" w:hAnsiTheme="majorHAnsi" w:cs="Times New Roman"/>
          <w:i/>
          <w:sz w:val="22"/>
          <w:szCs w:val="20"/>
        </w:rPr>
      </w:pPr>
      <w:r w:rsidRPr="009A4DF0">
        <w:rPr>
          <w:rFonts w:asciiTheme="majorHAnsi" w:hAnsiTheme="majorHAnsi" w:cs="Times New Roman"/>
          <w:i/>
          <w:sz w:val="22"/>
          <w:szCs w:val="20"/>
        </w:rPr>
        <w:t xml:space="preserve">Lederman, D. and </w:t>
      </w:r>
      <w:proofErr w:type="spellStart"/>
      <w:r w:rsidRPr="009A4DF0">
        <w:rPr>
          <w:rFonts w:asciiTheme="majorHAnsi" w:hAnsiTheme="majorHAnsi" w:cs="Times New Roman"/>
          <w:i/>
          <w:sz w:val="22"/>
          <w:szCs w:val="20"/>
        </w:rPr>
        <w:t>Brückner</w:t>
      </w:r>
      <w:proofErr w:type="spellEnd"/>
      <w:r w:rsidRPr="009A4DF0">
        <w:rPr>
          <w:rFonts w:asciiTheme="majorHAnsi" w:hAnsiTheme="majorHAnsi" w:cs="Times New Roman"/>
          <w:i/>
          <w:sz w:val="22"/>
          <w:szCs w:val="20"/>
        </w:rPr>
        <w:t xml:space="preserve">, M. (2015) </w:t>
      </w:r>
      <w:r w:rsidRPr="009A4DF0">
        <w:rPr>
          <w:rFonts w:asciiTheme="majorHAnsi" w:hAnsiTheme="majorHAnsi" w:cs="Times New Roman"/>
          <w:i/>
          <w:iCs/>
          <w:sz w:val="22"/>
          <w:szCs w:val="20"/>
        </w:rPr>
        <w:t>Effects of income inequality on economic growth</w:t>
      </w:r>
      <w:r w:rsidRPr="009A4DF0">
        <w:rPr>
          <w:rFonts w:asciiTheme="majorHAnsi" w:hAnsiTheme="majorHAnsi" w:cs="Times New Roman"/>
          <w:i/>
          <w:sz w:val="22"/>
          <w:szCs w:val="20"/>
        </w:rPr>
        <w:t xml:space="preserve">, </w:t>
      </w:r>
      <w:r w:rsidRPr="009A4DF0">
        <w:rPr>
          <w:rFonts w:asciiTheme="majorHAnsi" w:hAnsiTheme="majorHAnsi" w:cs="Times New Roman"/>
          <w:i/>
          <w:iCs/>
          <w:sz w:val="22"/>
          <w:szCs w:val="20"/>
        </w:rPr>
        <w:t>CEPR</w:t>
      </w:r>
      <w:r w:rsidRPr="009A4DF0">
        <w:rPr>
          <w:rFonts w:asciiTheme="majorHAnsi" w:hAnsiTheme="majorHAnsi" w:cs="Times New Roman"/>
          <w:i/>
          <w:sz w:val="22"/>
          <w:szCs w:val="20"/>
        </w:rPr>
        <w:t>. Available at: https://cepr.org/voxeu/columns/effects-income-inequality-economic-growth#</w:t>
      </w:r>
      <w:proofErr w:type="gramStart"/>
      <w:r w:rsidRPr="009A4DF0">
        <w:rPr>
          <w:rFonts w:asciiTheme="majorHAnsi" w:hAnsiTheme="majorHAnsi" w:cs="Times New Roman"/>
          <w:i/>
          <w:sz w:val="22"/>
          <w:szCs w:val="20"/>
        </w:rPr>
        <w:t>:~</w:t>
      </w:r>
      <w:proofErr w:type="gramEnd"/>
      <w:r w:rsidRPr="009A4DF0">
        <w:rPr>
          <w:rFonts w:asciiTheme="majorHAnsi" w:hAnsiTheme="majorHAnsi" w:cs="Times New Roman"/>
          <w:i/>
          <w:sz w:val="22"/>
          <w:szCs w:val="20"/>
        </w:rPr>
        <w:t>:text=The%20relationship%20between%20aggregate%20output,%2D%20and%20middle%2Dincome%20countr</w:t>
      </w:r>
      <w:r>
        <w:rPr>
          <w:rFonts w:asciiTheme="majorHAnsi" w:hAnsiTheme="majorHAnsi" w:cs="Times New Roman"/>
          <w:i/>
          <w:sz w:val="22"/>
          <w:szCs w:val="20"/>
        </w:rPr>
        <w:t>ies</w:t>
      </w:r>
      <w:r w:rsidRPr="009A4DF0">
        <w:rPr>
          <w:rFonts w:asciiTheme="majorHAnsi" w:hAnsiTheme="majorHAnsi" w:cs="Times New Roman"/>
          <w:i/>
          <w:sz w:val="22"/>
          <w:szCs w:val="20"/>
        </w:rPr>
        <w:t xml:space="preserve"> </w:t>
      </w:r>
    </w:p>
    <w:p w14:paraId="69483B84" w14:textId="77777777" w:rsidR="009A4DF0" w:rsidRPr="000770CE" w:rsidRDefault="009A4DF0" w:rsidP="000770CE">
      <w:pPr>
        <w:spacing w:before="100" w:beforeAutospacing="1" w:after="100" w:afterAutospacing="1"/>
        <w:rPr>
          <w:rFonts w:asciiTheme="majorHAnsi" w:hAnsiTheme="majorHAnsi" w:cs="Times New Roman"/>
          <w:i/>
          <w:sz w:val="22"/>
          <w:szCs w:val="22"/>
        </w:rPr>
      </w:pPr>
    </w:p>
    <w:p w14:paraId="5FB71060" w14:textId="77777777" w:rsidR="001C0328" w:rsidRPr="006849C3" w:rsidRDefault="001C0328" w:rsidP="00882002">
      <w:pPr>
        <w:spacing w:before="100" w:beforeAutospacing="1" w:after="100" w:afterAutospacing="1"/>
        <w:rPr>
          <w:rFonts w:asciiTheme="majorHAnsi" w:hAnsiTheme="majorHAnsi" w:cstheme="majorHAnsi"/>
          <w:sz w:val="22"/>
          <w:szCs w:val="20"/>
        </w:rPr>
      </w:pPr>
    </w:p>
    <w:p w14:paraId="47F09E4E" w14:textId="0A877E03" w:rsidR="0038560F" w:rsidRPr="00882002" w:rsidRDefault="0038560F" w:rsidP="0061547D">
      <w:pPr>
        <w:ind w:left="360"/>
        <w:rPr>
          <w:rFonts w:asciiTheme="majorHAnsi" w:hAnsiTheme="majorHAnsi" w:cstheme="majorHAnsi"/>
          <w:i/>
          <w:color w:val="000000" w:themeColor="text1"/>
          <w:sz w:val="22"/>
        </w:rPr>
      </w:pPr>
    </w:p>
    <w:p w14:paraId="2277B343" w14:textId="77777777" w:rsidR="00FE4F31" w:rsidRPr="00882002" w:rsidRDefault="00FE4F31" w:rsidP="00423775">
      <w:pPr>
        <w:rPr>
          <w:rFonts w:asciiTheme="majorHAnsi" w:hAnsiTheme="majorHAnsi" w:cstheme="majorHAnsi"/>
          <w:color w:val="000000" w:themeColor="text1"/>
          <w:sz w:val="22"/>
        </w:rPr>
      </w:pPr>
    </w:p>
    <w:p w14:paraId="583F7FED" w14:textId="77777777" w:rsidR="00423775" w:rsidRPr="00882002" w:rsidRDefault="00423775" w:rsidP="00402EAC">
      <w:pPr>
        <w:rPr>
          <w:rFonts w:asciiTheme="majorHAnsi" w:hAnsiTheme="majorHAnsi" w:cstheme="majorHAnsi"/>
          <w:sz w:val="22"/>
        </w:rPr>
      </w:pPr>
    </w:p>
    <w:p w14:paraId="4AE59A93" w14:textId="1F2E7E04" w:rsidR="004E2ECF" w:rsidRPr="00882002" w:rsidRDefault="004E2ECF" w:rsidP="00402EAC">
      <w:pPr>
        <w:rPr>
          <w:rFonts w:asciiTheme="majorHAnsi" w:hAnsiTheme="majorHAnsi" w:cstheme="majorHAnsi"/>
          <w:sz w:val="22"/>
        </w:rPr>
      </w:pPr>
    </w:p>
    <w:p w14:paraId="5D280BC9" w14:textId="77777777" w:rsidR="004E2ECF" w:rsidRPr="00882002" w:rsidRDefault="004E2ECF" w:rsidP="00402EAC">
      <w:pPr>
        <w:rPr>
          <w:rFonts w:asciiTheme="majorHAnsi" w:hAnsiTheme="majorHAnsi" w:cstheme="majorHAnsi"/>
          <w:sz w:val="22"/>
        </w:rPr>
      </w:pPr>
    </w:p>
    <w:p w14:paraId="28FD5522" w14:textId="77777777" w:rsidR="00402EAC" w:rsidRPr="00882002" w:rsidRDefault="00402EAC">
      <w:pPr>
        <w:rPr>
          <w:rFonts w:asciiTheme="majorHAnsi" w:hAnsiTheme="majorHAnsi" w:cstheme="majorHAnsi"/>
          <w:sz w:val="22"/>
        </w:rPr>
      </w:pPr>
    </w:p>
    <w:sectPr w:rsidR="00402EAC" w:rsidRPr="00882002" w:rsidSect="00054287">
      <w:headerReference w:type="even" r:id="rId14"/>
      <w:headerReference w:type="default" r:id="rId15"/>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7A6B53" w14:textId="77777777" w:rsidR="001657D6" w:rsidRDefault="001657D6" w:rsidP="0066244A">
      <w:r>
        <w:separator/>
      </w:r>
    </w:p>
  </w:endnote>
  <w:endnote w:type="continuationSeparator" w:id="0">
    <w:p w14:paraId="373D8BF4" w14:textId="77777777" w:rsidR="001657D6" w:rsidRDefault="001657D6" w:rsidP="006624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5165AE" w14:textId="77777777" w:rsidR="001657D6" w:rsidRDefault="001657D6" w:rsidP="0066244A">
      <w:r>
        <w:separator/>
      </w:r>
    </w:p>
  </w:footnote>
  <w:footnote w:type="continuationSeparator" w:id="0">
    <w:p w14:paraId="2E27DEEB" w14:textId="77777777" w:rsidR="001657D6" w:rsidRDefault="001657D6" w:rsidP="0066244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D78307" w14:textId="77777777" w:rsidR="001657D6" w:rsidRDefault="0031245B">
    <w:pPr>
      <w:pStyle w:val="Header"/>
    </w:pPr>
    <w:sdt>
      <w:sdtPr>
        <w:id w:val="171999623"/>
        <w:placeholder>
          <w:docPart w:val="D9226BD5144AF246AB8A57AF2D3EB7A5"/>
        </w:placeholder>
        <w:temporary/>
        <w:showingPlcHdr/>
      </w:sdtPr>
      <w:sdtEndPr/>
      <w:sdtContent>
        <w:r w:rsidR="001657D6">
          <w:t>[Type text]</w:t>
        </w:r>
      </w:sdtContent>
    </w:sdt>
    <w:r w:rsidR="001657D6">
      <w:ptab w:relativeTo="margin" w:alignment="center" w:leader="none"/>
    </w:r>
    <w:sdt>
      <w:sdtPr>
        <w:id w:val="171999624"/>
        <w:placeholder>
          <w:docPart w:val="C168E2586649DC489EF050DEF2463353"/>
        </w:placeholder>
        <w:temporary/>
        <w:showingPlcHdr/>
      </w:sdtPr>
      <w:sdtEndPr/>
      <w:sdtContent>
        <w:r w:rsidR="001657D6">
          <w:t>[Type text]</w:t>
        </w:r>
      </w:sdtContent>
    </w:sdt>
    <w:r w:rsidR="001657D6">
      <w:ptab w:relativeTo="margin" w:alignment="right" w:leader="none"/>
    </w:r>
    <w:sdt>
      <w:sdtPr>
        <w:id w:val="171999625"/>
        <w:placeholder>
          <w:docPart w:val="82BD137323BE704A968D6DB80F2A6E23"/>
        </w:placeholder>
        <w:temporary/>
        <w:showingPlcHdr/>
      </w:sdtPr>
      <w:sdtEndPr/>
      <w:sdtContent>
        <w:r w:rsidR="001657D6">
          <w:t>[Type text]</w:t>
        </w:r>
      </w:sdtContent>
    </w:sdt>
  </w:p>
  <w:p w14:paraId="54C2F0BC" w14:textId="77777777" w:rsidR="001657D6" w:rsidRDefault="001657D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8F2A43" w14:textId="24F7A280" w:rsidR="001657D6" w:rsidRPr="008734F6" w:rsidRDefault="001657D6">
    <w:pPr>
      <w:pStyle w:val="Header"/>
      <w:rPr>
        <w:rFonts w:asciiTheme="majorHAnsi" w:hAnsiTheme="majorHAnsi"/>
        <w:sz w:val="20"/>
      </w:rPr>
    </w:pPr>
    <w:r w:rsidRPr="008734F6">
      <w:rPr>
        <w:rFonts w:asciiTheme="majorHAnsi" w:hAnsiTheme="majorHAnsi"/>
        <w:sz w:val="20"/>
      </w:rPr>
      <w:t>Excel Empirical Project</w:t>
    </w:r>
  </w:p>
  <w:p w14:paraId="67B3FEE0" w14:textId="7F45D434" w:rsidR="001657D6" w:rsidRPr="008734F6" w:rsidRDefault="001657D6">
    <w:pPr>
      <w:pStyle w:val="Header"/>
      <w:rPr>
        <w:rFonts w:asciiTheme="majorHAnsi" w:hAnsiTheme="majorHAnsi"/>
        <w:sz w:val="20"/>
      </w:rPr>
    </w:pPr>
    <w:r w:rsidRPr="008734F6">
      <w:rPr>
        <w:rFonts w:asciiTheme="majorHAnsi" w:hAnsiTheme="majorHAnsi"/>
        <w:sz w:val="20"/>
      </w:rPr>
      <w:t>ECON0044</w:t>
    </w:r>
  </w:p>
  <w:p w14:paraId="57D3FE77" w14:textId="62DFC17B" w:rsidR="001657D6" w:rsidRPr="008734F6" w:rsidRDefault="001657D6">
    <w:pPr>
      <w:pStyle w:val="Header"/>
      <w:rPr>
        <w:rFonts w:asciiTheme="majorHAnsi" w:hAnsiTheme="majorHAnsi"/>
        <w:sz w:val="20"/>
      </w:rPr>
    </w:pPr>
    <w:r>
      <w:rPr>
        <w:rFonts w:asciiTheme="majorHAnsi" w:hAnsiTheme="majorHAnsi"/>
        <w:sz w:val="20"/>
      </w:rPr>
      <w:t>Wor</w:t>
    </w:r>
    <w:r w:rsidR="00185508">
      <w:rPr>
        <w:rFonts w:asciiTheme="majorHAnsi" w:hAnsiTheme="majorHAnsi"/>
        <w:sz w:val="20"/>
      </w:rPr>
      <w:t>d Count: 976</w:t>
    </w:r>
    <w:r w:rsidRPr="008734F6">
      <w:rPr>
        <w:rFonts w:asciiTheme="majorHAnsi" w:hAnsiTheme="majorHAnsi"/>
        <w:sz w:val="20"/>
      </w:rPr>
      <w:ptab w:relativeTo="margin" w:alignment="center" w:leader="none"/>
    </w:r>
    <w:r w:rsidRPr="008734F6">
      <w:rPr>
        <w:rFonts w:asciiTheme="majorHAnsi" w:hAnsiTheme="majorHAnsi"/>
        <w:sz w:val="20"/>
      </w:rPr>
      <w:ptab w:relativeTo="margin" w:alignment="right" w:leader="none"/>
    </w:r>
  </w:p>
  <w:p w14:paraId="1AA55129" w14:textId="77777777" w:rsidR="001657D6" w:rsidRDefault="001657D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702FD8"/>
    <w:multiLevelType w:val="hybridMultilevel"/>
    <w:tmpl w:val="DF0A3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EAC"/>
    <w:rsid w:val="0002560C"/>
    <w:rsid w:val="0003759E"/>
    <w:rsid w:val="000416D9"/>
    <w:rsid w:val="00054287"/>
    <w:rsid w:val="0006293C"/>
    <w:rsid w:val="000770CE"/>
    <w:rsid w:val="000A7AD1"/>
    <w:rsid w:val="000B2D7F"/>
    <w:rsid w:val="000C7B6A"/>
    <w:rsid w:val="000F3F7A"/>
    <w:rsid w:val="00115FF8"/>
    <w:rsid w:val="00122D8D"/>
    <w:rsid w:val="001410B5"/>
    <w:rsid w:val="0016248E"/>
    <w:rsid w:val="001657D6"/>
    <w:rsid w:val="00185508"/>
    <w:rsid w:val="001B2EF1"/>
    <w:rsid w:val="001C0328"/>
    <w:rsid w:val="001C51C0"/>
    <w:rsid w:val="001F79E6"/>
    <w:rsid w:val="00211842"/>
    <w:rsid w:val="00224418"/>
    <w:rsid w:val="002369D4"/>
    <w:rsid w:val="0028753F"/>
    <w:rsid w:val="002938E1"/>
    <w:rsid w:val="002B43A1"/>
    <w:rsid w:val="002F20B0"/>
    <w:rsid w:val="002F60DB"/>
    <w:rsid w:val="002F7216"/>
    <w:rsid w:val="0031174B"/>
    <w:rsid w:val="0031245B"/>
    <w:rsid w:val="00356963"/>
    <w:rsid w:val="00380C99"/>
    <w:rsid w:val="0038560F"/>
    <w:rsid w:val="003D648B"/>
    <w:rsid w:val="00401603"/>
    <w:rsid w:val="00402EAC"/>
    <w:rsid w:val="004130AA"/>
    <w:rsid w:val="00423775"/>
    <w:rsid w:val="00426B31"/>
    <w:rsid w:val="00442FF4"/>
    <w:rsid w:val="004658AD"/>
    <w:rsid w:val="004976CC"/>
    <w:rsid w:val="004C2605"/>
    <w:rsid w:val="004D003F"/>
    <w:rsid w:val="004D3DCC"/>
    <w:rsid w:val="004E2ECF"/>
    <w:rsid w:val="00502922"/>
    <w:rsid w:val="005517E6"/>
    <w:rsid w:val="00555EEB"/>
    <w:rsid w:val="0056197D"/>
    <w:rsid w:val="00566B69"/>
    <w:rsid w:val="00575D18"/>
    <w:rsid w:val="00580948"/>
    <w:rsid w:val="005B3B0C"/>
    <w:rsid w:val="005C54EB"/>
    <w:rsid w:val="005F351C"/>
    <w:rsid w:val="005F358D"/>
    <w:rsid w:val="0061547D"/>
    <w:rsid w:val="006208D3"/>
    <w:rsid w:val="006270EE"/>
    <w:rsid w:val="0066244A"/>
    <w:rsid w:val="006728D9"/>
    <w:rsid w:val="00672ABA"/>
    <w:rsid w:val="0067389D"/>
    <w:rsid w:val="006849C3"/>
    <w:rsid w:val="00691EB5"/>
    <w:rsid w:val="006C0F41"/>
    <w:rsid w:val="006C78C4"/>
    <w:rsid w:val="006D32ED"/>
    <w:rsid w:val="006F5AB4"/>
    <w:rsid w:val="0071436E"/>
    <w:rsid w:val="00731D67"/>
    <w:rsid w:val="007803FC"/>
    <w:rsid w:val="007857A3"/>
    <w:rsid w:val="007A497E"/>
    <w:rsid w:val="007C4009"/>
    <w:rsid w:val="007D2E91"/>
    <w:rsid w:val="007E478F"/>
    <w:rsid w:val="00816419"/>
    <w:rsid w:val="008734F6"/>
    <w:rsid w:val="00876E41"/>
    <w:rsid w:val="00882002"/>
    <w:rsid w:val="00893A3F"/>
    <w:rsid w:val="008D3B92"/>
    <w:rsid w:val="00966ACB"/>
    <w:rsid w:val="00985F24"/>
    <w:rsid w:val="009A3C5F"/>
    <w:rsid w:val="009A4DF0"/>
    <w:rsid w:val="009B6759"/>
    <w:rsid w:val="009C1F12"/>
    <w:rsid w:val="009E797C"/>
    <w:rsid w:val="009F05A4"/>
    <w:rsid w:val="00A00EA2"/>
    <w:rsid w:val="00A5293F"/>
    <w:rsid w:val="00A96577"/>
    <w:rsid w:val="00AC5F01"/>
    <w:rsid w:val="00AD1A90"/>
    <w:rsid w:val="00AE1047"/>
    <w:rsid w:val="00AF0A06"/>
    <w:rsid w:val="00B20F88"/>
    <w:rsid w:val="00B438B2"/>
    <w:rsid w:val="00BE2995"/>
    <w:rsid w:val="00C53E17"/>
    <w:rsid w:val="00C67007"/>
    <w:rsid w:val="00C87545"/>
    <w:rsid w:val="00D003D5"/>
    <w:rsid w:val="00D44141"/>
    <w:rsid w:val="00D45B6A"/>
    <w:rsid w:val="00D50B10"/>
    <w:rsid w:val="00D5369F"/>
    <w:rsid w:val="00D62ED8"/>
    <w:rsid w:val="00D72673"/>
    <w:rsid w:val="00DA597D"/>
    <w:rsid w:val="00DB06E6"/>
    <w:rsid w:val="00DF5130"/>
    <w:rsid w:val="00DF712B"/>
    <w:rsid w:val="00E04FB1"/>
    <w:rsid w:val="00E24B78"/>
    <w:rsid w:val="00E83C35"/>
    <w:rsid w:val="00E8588A"/>
    <w:rsid w:val="00E967FB"/>
    <w:rsid w:val="00EA4081"/>
    <w:rsid w:val="00EB6C2E"/>
    <w:rsid w:val="00EC69FD"/>
    <w:rsid w:val="00EC6BE8"/>
    <w:rsid w:val="00F01DB6"/>
    <w:rsid w:val="00F10A2F"/>
    <w:rsid w:val="00F168F6"/>
    <w:rsid w:val="00F22E66"/>
    <w:rsid w:val="00F445A4"/>
    <w:rsid w:val="00F466C5"/>
    <w:rsid w:val="00F55AF8"/>
    <w:rsid w:val="00F635CB"/>
    <w:rsid w:val="00F81CCF"/>
    <w:rsid w:val="00F96798"/>
    <w:rsid w:val="00FE4F31"/>
    <w:rsid w:val="00FF2A1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565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2E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2EAC"/>
    <w:rPr>
      <w:rFonts w:ascii="Lucida Grande" w:hAnsi="Lucida Grande" w:cs="Lucida Grande"/>
      <w:sz w:val="18"/>
      <w:szCs w:val="18"/>
    </w:rPr>
  </w:style>
  <w:style w:type="character" w:styleId="Hyperlink">
    <w:name w:val="Hyperlink"/>
    <w:basedOn w:val="DefaultParagraphFont"/>
    <w:uiPriority w:val="99"/>
    <w:unhideWhenUsed/>
    <w:rsid w:val="00F445A4"/>
    <w:rPr>
      <w:color w:val="0000FF" w:themeColor="hyperlink"/>
      <w:u w:val="single"/>
    </w:rPr>
  </w:style>
  <w:style w:type="paragraph" w:styleId="ListParagraph">
    <w:name w:val="List Paragraph"/>
    <w:basedOn w:val="Normal"/>
    <w:uiPriority w:val="34"/>
    <w:qFormat/>
    <w:rsid w:val="00FE4F31"/>
    <w:pPr>
      <w:ind w:left="720"/>
      <w:contextualSpacing/>
    </w:pPr>
  </w:style>
  <w:style w:type="paragraph" w:styleId="NormalWeb">
    <w:name w:val="Normal (Web)"/>
    <w:basedOn w:val="Normal"/>
    <w:uiPriority w:val="99"/>
    <w:semiHidden/>
    <w:unhideWhenUsed/>
    <w:rsid w:val="00FE4F31"/>
    <w:pPr>
      <w:spacing w:before="100" w:beforeAutospacing="1" w:after="100" w:afterAutospacing="1"/>
    </w:pPr>
    <w:rPr>
      <w:rFonts w:ascii="Times New Roman" w:hAnsi="Times New Roman" w:cs="Times New Roman"/>
      <w:sz w:val="20"/>
      <w:szCs w:val="20"/>
    </w:rPr>
  </w:style>
  <w:style w:type="paragraph" w:styleId="Header">
    <w:name w:val="header"/>
    <w:basedOn w:val="Normal"/>
    <w:link w:val="HeaderChar"/>
    <w:uiPriority w:val="99"/>
    <w:unhideWhenUsed/>
    <w:rsid w:val="0066244A"/>
    <w:pPr>
      <w:tabs>
        <w:tab w:val="center" w:pos="4320"/>
        <w:tab w:val="right" w:pos="8640"/>
      </w:tabs>
    </w:pPr>
  </w:style>
  <w:style w:type="character" w:customStyle="1" w:styleId="HeaderChar">
    <w:name w:val="Header Char"/>
    <w:basedOn w:val="DefaultParagraphFont"/>
    <w:link w:val="Header"/>
    <w:uiPriority w:val="99"/>
    <w:rsid w:val="0066244A"/>
  </w:style>
  <w:style w:type="paragraph" w:styleId="Footer">
    <w:name w:val="footer"/>
    <w:basedOn w:val="Normal"/>
    <w:link w:val="FooterChar"/>
    <w:uiPriority w:val="99"/>
    <w:unhideWhenUsed/>
    <w:rsid w:val="0066244A"/>
    <w:pPr>
      <w:tabs>
        <w:tab w:val="center" w:pos="4320"/>
        <w:tab w:val="right" w:pos="8640"/>
      </w:tabs>
    </w:pPr>
  </w:style>
  <w:style w:type="character" w:customStyle="1" w:styleId="FooterChar">
    <w:name w:val="Footer Char"/>
    <w:basedOn w:val="DefaultParagraphFont"/>
    <w:link w:val="Footer"/>
    <w:uiPriority w:val="99"/>
    <w:rsid w:val="0066244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2E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2EAC"/>
    <w:rPr>
      <w:rFonts w:ascii="Lucida Grande" w:hAnsi="Lucida Grande" w:cs="Lucida Grande"/>
      <w:sz w:val="18"/>
      <w:szCs w:val="18"/>
    </w:rPr>
  </w:style>
  <w:style w:type="character" w:styleId="Hyperlink">
    <w:name w:val="Hyperlink"/>
    <w:basedOn w:val="DefaultParagraphFont"/>
    <w:uiPriority w:val="99"/>
    <w:unhideWhenUsed/>
    <w:rsid w:val="00F445A4"/>
    <w:rPr>
      <w:color w:val="0000FF" w:themeColor="hyperlink"/>
      <w:u w:val="single"/>
    </w:rPr>
  </w:style>
  <w:style w:type="paragraph" w:styleId="ListParagraph">
    <w:name w:val="List Paragraph"/>
    <w:basedOn w:val="Normal"/>
    <w:uiPriority w:val="34"/>
    <w:qFormat/>
    <w:rsid w:val="00FE4F31"/>
    <w:pPr>
      <w:ind w:left="720"/>
      <w:contextualSpacing/>
    </w:pPr>
  </w:style>
  <w:style w:type="paragraph" w:styleId="NormalWeb">
    <w:name w:val="Normal (Web)"/>
    <w:basedOn w:val="Normal"/>
    <w:uiPriority w:val="99"/>
    <w:semiHidden/>
    <w:unhideWhenUsed/>
    <w:rsid w:val="00FE4F31"/>
    <w:pPr>
      <w:spacing w:before="100" w:beforeAutospacing="1" w:after="100" w:afterAutospacing="1"/>
    </w:pPr>
    <w:rPr>
      <w:rFonts w:ascii="Times New Roman" w:hAnsi="Times New Roman" w:cs="Times New Roman"/>
      <w:sz w:val="20"/>
      <w:szCs w:val="20"/>
    </w:rPr>
  </w:style>
  <w:style w:type="paragraph" w:styleId="Header">
    <w:name w:val="header"/>
    <w:basedOn w:val="Normal"/>
    <w:link w:val="HeaderChar"/>
    <w:uiPriority w:val="99"/>
    <w:unhideWhenUsed/>
    <w:rsid w:val="0066244A"/>
    <w:pPr>
      <w:tabs>
        <w:tab w:val="center" w:pos="4320"/>
        <w:tab w:val="right" w:pos="8640"/>
      </w:tabs>
    </w:pPr>
  </w:style>
  <w:style w:type="character" w:customStyle="1" w:styleId="HeaderChar">
    <w:name w:val="Header Char"/>
    <w:basedOn w:val="DefaultParagraphFont"/>
    <w:link w:val="Header"/>
    <w:uiPriority w:val="99"/>
    <w:rsid w:val="0066244A"/>
  </w:style>
  <w:style w:type="paragraph" w:styleId="Footer">
    <w:name w:val="footer"/>
    <w:basedOn w:val="Normal"/>
    <w:link w:val="FooterChar"/>
    <w:uiPriority w:val="99"/>
    <w:unhideWhenUsed/>
    <w:rsid w:val="0066244A"/>
    <w:pPr>
      <w:tabs>
        <w:tab w:val="center" w:pos="4320"/>
        <w:tab w:val="right" w:pos="8640"/>
      </w:tabs>
    </w:pPr>
  </w:style>
  <w:style w:type="character" w:customStyle="1" w:styleId="FooterChar">
    <w:name w:val="Footer Char"/>
    <w:basedOn w:val="DefaultParagraphFont"/>
    <w:link w:val="Footer"/>
    <w:uiPriority w:val="99"/>
    <w:rsid w:val="006624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185387">
      <w:bodyDiv w:val="1"/>
      <w:marLeft w:val="0"/>
      <w:marRight w:val="0"/>
      <w:marTop w:val="0"/>
      <w:marBottom w:val="0"/>
      <w:divBdr>
        <w:top w:val="none" w:sz="0" w:space="0" w:color="auto"/>
        <w:left w:val="none" w:sz="0" w:space="0" w:color="auto"/>
        <w:bottom w:val="none" w:sz="0" w:space="0" w:color="auto"/>
        <w:right w:val="none" w:sz="0" w:space="0" w:color="auto"/>
      </w:divBdr>
    </w:div>
    <w:div w:id="1026373378">
      <w:bodyDiv w:val="1"/>
      <w:marLeft w:val="0"/>
      <w:marRight w:val="0"/>
      <w:marTop w:val="0"/>
      <w:marBottom w:val="0"/>
      <w:divBdr>
        <w:top w:val="none" w:sz="0" w:space="0" w:color="auto"/>
        <w:left w:val="none" w:sz="0" w:space="0" w:color="auto"/>
        <w:bottom w:val="none" w:sz="0" w:space="0" w:color="auto"/>
        <w:right w:val="none" w:sz="0" w:space="0" w:color="auto"/>
      </w:divBdr>
    </w:div>
    <w:div w:id="1096286636">
      <w:bodyDiv w:val="1"/>
      <w:marLeft w:val="0"/>
      <w:marRight w:val="0"/>
      <w:marTop w:val="0"/>
      <w:marBottom w:val="0"/>
      <w:divBdr>
        <w:top w:val="none" w:sz="0" w:space="0" w:color="auto"/>
        <w:left w:val="none" w:sz="0" w:space="0" w:color="auto"/>
        <w:bottom w:val="none" w:sz="0" w:space="0" w:color="auto"/>
        <w:right w:val="none" w:sz="0" w:space="0" w:color="auto"/>
      </w:divBdr>
    </w:div>
    <w:div w:id="1378436500">
      <w:bodyDiv w:val="1"/>
      <w:marLeft w:val="0"/>
      <w:marRight w:val="0"/>
      <w:marTop w:val="0"/>
      <w:marBottom w:val="0"/>
      <w:divBdr>
        <w:top w:val="none" w:sz="0" w:space="0" w:color="auto"/>
        <w:left w:val="none" w:sz="0" w:space="0" w:color="auto"/>
        <w:bottom w:val="none" w:sz="0" w:space="0" w:color="auto"/>
        <w:right w:val="none" w:sz="0" w:space="0" w:color="auto"/>
      </w:divBdr>
    </w:div>
    <w:div w:id="1685788815">
      <w:bodyDiv w:val="1"/>
      <w:marLeft w:val="0"/>
      <w:marRight w:val="0"/>
      <w:marTop w:val="0"/>
      <w:marBottom w:val="0"/>
      <w:divBdr>
        <w:top w:val="none" w:sz="0" w:space="0" w:color="auto"/>
        <w:left w:val="none" w:sz="0" w:space="0" w:color="auto"/>
        <w:bottom w:val="none" w:sz="0" w:space="0" w:color="auto"/>
        <w:right w:val="none" w:sz="0" w:space="0" w:color="auto"/>
      </w:divBdr>
    </w:div>
    <w:div w:id="1891727231">
      <w:bodyDiv w:val="1"/>
      <w:marLeft w:val="0"/>
      <w:marRight w:val="0"/>
      <w:marTop w:val="0"/>
      <w:marBottom w:val="0"/>
      <w:divBdr>
        <w:top w:val="none" w:sz="0" w:space="0" w:color="auto"/>
        <w:left w:val="none" w:sz="0" w:space="0" w:color="auto"/>
        <w:bottom w:val="none" w:sz="0" w:space="0" w:color="auto"/>
        <w:right w:val="none" w:sz="0" w:space="0" w:color="auto"/>
      </w:divBdr>
    </w:div>
    <w:div w:id="19036361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macrotrends.net/countries/WLD/world/consumer-spending" TargetMode="External"/><Relationship Id="rId12" Type="http://schemas.openxmlformats.org/officeDocument/2006/relationships/hyperlink" Target="https://sciendo.com/downloadpdf/journals/sues/28/4/article-p45.pdf" TargetMode="External"/><Relationship Id="rId13" Type="http://schemas.openxmlformats.org/officeDocument/2006/relationships/hyperlink" Target="https://core.ac.uk/download/pdf/154553817.pdf"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hart" Target="charts/chart1.xml"/><Relationship Id="rId10" Type="http://schemas.openxmlformats.org/officeDocument/2006/relationships/hyperlink" Target="https://jackblun.github.io/Globalinc/"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Hamzah:Downloads:Mean%20Income%20vs%20Consumer%20confidence%20per%20capi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pPr>
            <a:r>
              <a:rPr lang="en-US" sz="1100"/>
              <a:t>Figure 1: Gini Co-efficient</a:t>
            </a:r>
            <a:r>
              <a:rPr lang="en-US" sz="1100" baseline="0"/>
              <a:t> (Measuring Income Inequality) vs Consumer Expenditure per Capita (US$)</a:t>
            </a:r>
            <a:endParaRPr lang="en-US" sz="1100"/>
          </a:p>
        </c:rich>
      </c:tx>
      <c:layout/>
      <c:overlay val="0"/>
    </c:title>
    <c:autoTitleDeleted val="0"/>
    <c:plotArea>
      <c:layout/>
      <c:scatterChart>
        <c:scatterStyle val="lineMarker"/>
        <c:varyColors val="0"/>
        <c:ser>
          <c:idx val="0"/>
          <c:order val="0"/>
          <c:tx>
            <c:v>Low Income Countries </c:v>
          </c:tx>
          <c:spPr>
            <a:ln w="19050">
              <a:noFill/>
            </a:ln>
          </c:spPr>
          <c:xVal>
            <c:numRef>
              <c:f>GCIPrawdata!$P$34:$P$2502</c:f>
              <c:numCache>
                <c:formatCode>General</c:formatCode>
                <c:ptCount val="73"/>
                <c:pt idx="0">
                  <c:v>0.0</c:v>
                </c:pt>
                <c:pt idx="1">
                  <c:v>412.4767029431196</c:v>
                </c:pt>
                <c:pt idx="2">
                  <c:v>221.1020452081524</c:v>
                </c:pt>
                <c:pt idx="3">
                  <c:v>260.8082133390535</c:v>
                </c:pt>
                <c:pt idx="4">
                  <c:v>1495.501004893984</c:v>
                </c:pt>
                <c:pt idx="5">
                  <c:v>0.0</c:v>
                </c:pt>
                <c:pt idx="6">
                  <c:v>569.636312298835</c:v>
                </c:pt>
                <c:pt idx="7">
                  <c:v>386.548530504716</c:v>
                </c:pt>
                <c:pt idx="8">
                  <c:v>433.4683195522421</c:v>
                </c:pt>
                <c:pt idx="9">
                  <c:v>545.2393765813568</c:v>
                </c:pt>
                <c:pt idx="10">
                  <c:v>1289.789611026893</c:v>
                </c:pt>
                <c:pt idx="11">
                  <c:v>419.1987685025802</c:v>
                </c:pt>
                <c:pt idx="12">
                  <c:v>504.1043749486192</c:v>
                </c:pt>
                <c:pt idx="13">
                  <c:v>418.9523027462943</c:v>
                </c:pt>
                <c:pt idx="14">
                  <c:v>575.9063143946379</c:v>
                </c:pt>
                <c:pt idx="15">
                  <c:v>566.4991271592074</c:v>
                </c:pt>
                <c:pt idx="16">
                  <c:v>622.1913809995983</c:v>
                </c:pt>
                <c:pt idx="17">
                  <c:v>931.5051318134869</c:v>
                </c:pt>
                <c:pt idx="18">
                  <c:v>0.0</c:v>
                </c:pt>
                <c:pt idx="19">
                  <c:v>899.195737291865</c:v>
                </c:pt>
                <c:pt idx="20">
                  <c:v>556.5124286679862</c:v>
                </c:pt>
                <c:pt idx="21">
                  <c:v>0.0</c:v>
                </c:pt>
                <c:pt idx="22">
                  <c:v>602.173311013444</c:v>
                </c:pt>
                <c:pt idx="23">
                  <c:v>0.0</c:v>
                </c:pt>
                <c:pt idx="24">
                  <c:v>535.8659909904313</c:v>
                </c:pt>
                <c:pt idx="25">
                  <c:v>1149.779596212231</c:v>
                </c:pt>
                <c:pt idx="26">
                  <c:v>1216.724114326819</c:v>
                </c:pt>
                <c:pt idx="27">
                  <c:v>2034.411865685635</c:v>
                </c:pt>
                <c:pt idx="28">
                  <c:v>548.550757636198</c:v>
                </c:pt>
                <c:pt idx="29">
                  <c:v>527.242726951661</c:v>
                </c:pt>
                <c:pt idx="30">
                  <c:v>965.7810294168687</c:v>
                </c:pt>
                <c:pt idx="31">
                  <c:v>894.7386470808613</c:v>
                </c:pt>
                <c:pt idx="32">
                  <c:v>938.2674622166786</c:v>
                </c:pt>
                <c:pt idx="33">
                  <c:v>985.258887100399</c:v>
                </c:pt>
                <c:pt idx="34">
                  <c:v>1723.538268506901</c:v>
                </c:pt>
                <c:pt idx="35">
                  <c:v>1367.359008839046</c:v>
                </c:pt>
                <c:pt idx="36">
                  <c:v>1595.172294292874</c:v>
                </c:pt>
                <c:pt idx="37">
                  <c:v>685.9247960427338</c:v>
                </c:pt>
                <c:pt idx="38">
                  <c:v>1125.812025301927</c:v>
                </c:pt>
                <c:pt idx="39">
                  <c:v>0.0</c:v>
                </c:pt>
                <c:pt idx="40">
                  <c:v>942.9961450489654</c:v>
                </c:pt>
                <c:pt idx="41">
                  <c:v>903.9977851711428</c:v>
                </c:pt>
                <c:pt idx="42">
                  <c:v>2288.48453834545</c:v>
                </c:pt>
                <c:pt idx="43">
                  <c:v>909.887814886912</c:v>
                </c:pt>
                <c:pt idx="44">
                  <c:v>3071.681243818123</c:v>
                </c:pt>
                <c:pt idx="45">
                  <c:v>1789.717852023406</c:v>
                </c:pt>
                <c:pt idx="46">
                  <c:v>0.0</c:v>
                </c:pt>
                <c:pt idx="47">
                  <c:v>0.0</c:v>
                </c:pt>
                <c:pt idx="48">
                  <c:v>1333.070037998302</c:v>
                </c:pt>
                <c:pt idx="49">
                  <c:v>1092.28157373665</c:v>
                </c:pt>
                <c:pt idx="50">
                  <c:v>0.0</c:v>
                </c:pt>
                <c:pt idx="51">
                  <c:v>2305.960278046878</c:v>
                </c:pt>
                <c:pt idx="52">
                  <c:v>2112.329422453467</c:v>
                </c:pt>
                <c:pt idx="53">
                  <c:v>3188.410695368218</c:v>
                </c:pt>
                <c:pt idx="54">
                  <c:v>2709.592889931786</c:v>
                </c:pt>
                <c:pt idx="55">
                  <c:v>2123.149183434371</c:v>
                </c:pt>
                <c:pt idx="56">
                  <c:v>1443.913884369465</c:v>
                </c:pt>
                <c:pt idx="57">
                  <c:v>1443.539111166541</c:v>
                </c:pt>
                <c:pt idx="58">
                  <c:v>2027.321810153262</c:v>
                </c:pt>
                <c:pt idx="59">
                  <c:v>4497.267027017071</c:v>
                </c:pt>
                <c:pt idx="60">
                  <c:v>0.0</c:v>
                </c:pt>
                <c:pt idx="61">
                  <c:v>3024.19090331353</c:v>
                </c:pt>
                <c:pt idx="62">
                  <c:v>3654.889580753966</c:v>
                </c:pt>
                <c:pt idx="63">
                  <c:v>0.0</c:v>
                </c:pt>
                <c:pt idx="64">
                  <c:v>0.0</c:v>
                </c:pt>
                <c:pt idx="65">
                  <c:v>4973.507829784676</c:v>
                </c:pt>
                <c:pt idx="66">
                  <c:v>0.0</c:v>
                </c:pt>
                <c:pt idx="67">
                  <c:v>1799.720974417335</c:v>
                </c:pt>
                <c:pt idx="68">
                  <c:v>3823.270652695532</c:v>
                </c:pt>
                <c:pt idx="69">
                  <c:v>2227.0002974834</c:v>
                </c:pt>
                <c:pt idx="70">
                  <c:v>3629.252400109905</c:v>
                </c:pt>
                <c:pt idx="71">
                  <c:v>6530.311928645044</c:v>
                </c:pt>
                <c:pt idx="72">
                  <c:v>9654.116667623988</c:v>
                </c:pt>
              </c:numCache>
            </c:numRef>
          </c:xVal>
          <c:yVal>
            <c:numRef>
              <c:f>GCIPrawdata!$Q$34:$Q$2502</c:f>
              <c:numCache>
                <c:formatCode>General</c:formatCode>
                <c:ptCount val="73"/>
                <c:pt idx="0">
                  <c:v>0.54848</c:v>
                </c:pt>
                <c:pt idx="1">
                  <c:v>0.55256</c:v>
                </c:pt>
                <c:pt idx="2">
                  <c:v>0.53084</c:v>
                </c:pt>
                <c:pt idx="3">
                  <c:v>0.56195</c:v>
                </c:pt>
                <c:pt idx="4">
                  <c:v>0.59607</c:v>
                </c:pt>
                <c:pt idx="5">
                  <c:v>0.56493</c:v>
                </c:pt>
                <c:pt idx="6">
                  <c:v>0.57729</c:v>
                </c:pt>
                <c:pt idx="7">
                  <c:v>0.53838</c:v>
                </c:pt>
                <c:pt idx="8">
                  <c:v>0.59296</c:v>
                </c:pt>
                <c:pt idx="9">
                  <c:v>0.48171</c:v>
                </c:pt>
                <c:pt idx="10">
                  <c:v>0.48531</c:v>
                </c:pt>
                <c:pt idx="11">
                  <c:v>0.56588</c:v>
                </c:pt>
                <c:pt idx="12">
                  <c:v>0.56852</c:v>
                </c:pt>
                <c:pt idx="13">
                  <c:v>0.53077</c:v>
                </c:pt>
                <c:pt idx="14">
                  <c:v>0.54329</c:v>
                </c:pt>
                <c:pt idx="15">
                  <c:v>0.57204</c:v>
                </c:pt>
                <c:pt idx="16">
                  <c:v>0.53598</c:v>
                </c:pt>
                <c:pt idx="17">
                  <c:v>0.58979</c:v>
                </c:pt>
                <c:pt idx="18">
                  <c:v>0.49799</c:v>
                </c:pt>
                <c:pt idx="19">
                  <c:v>0.58399</c:v>
                </c:pt>
                <c:pt idx="20">
                  <c:v>0.54969</c:v>
                </c:pt>
                <c:pt idx="21">
                  <c:v>0.53485</c:v>
                </c:pt>
                <c:pt idx="22">
                  <c:v>0.48113</c:v>
                </c:pt>
                <c:pt idx="23">
                  <c:v>0.0</c:v>
                </c:pt>
                <c:pt idx="24">
                  <c:v>0.54606</c:v>
                </c:pt>
                <c:pt idx="25">
                  <c:v>0.55446</c:v>
                </c:pt>
                <c:pt idx="26">
                  <c:v>0.56676</c:v>
                </c:pt>
                <c:pt idx="27">
                  <c:v>0.47914</c:v>
                </c:pt>
                <c:pt idx="28">
                  <c:v>0.48588</c:v>
                </c:pt>
                <c:pt idx="29">
                  <c:v>0.47355</c:v>
                </c:pt>
                <c:pt idx="30">
                  <c:v>0.57271</c:v>
                </c:pt>
                <c:pt idx="31">
                  <c:v>0.47821</c:v>
                </c:pt>
                <c:pt idx="32">
                  <c:v>0.46588</c:v>
                </c:pt>
                <c:pt idx="33">
                  <c:v>0.50286</c:v>
                </c:pt>
                <c:pt idx="34">
                  <c:v>0.49419</c:v>
                </c:pt>
                <c:pt idx="35">
                  <c:v>0.56505</c:v>
                </c:pt>
                <c:pt idx="36">
                  <c:v>0.54527</c:v>
                </c:pt>
                <c:pt idx="37">
                  <c:v>0.53614</c:v>
                </c:pt>
                <c:pt idx="38">
                  <c:v>0.56011</c:v>
                </c:pt>
                <c:pt idx="39">
                  <c:v>0.56881</c:v>
                </c:pt>
                <c:pt idx="40">
                  <c:v>0.57165</c:v>
                </c:pt>
                <c:pt idx="41">
                  <c:v>0.47552</c:v>
                </c:pt>
                <c:pt idx="42">
                  <c:v>0.52065</c:v>
                </c:pt>
                <c:pt idx="43">
                  <c:v>0.47716</c:v>
                </c:pt>
                <c:pt idx="44">
                  <c:v>0.45431</c:v>
                </c:pt>
                <c:pt idx="45">
                  <c:v>0.51892</c:v>
                </c:pt>
                <c:pt idx="46">
                  <c:v>0.50784</c:v>
                </c:pt>
                <c:pt idx="47">
                  <c:v>0.52523</c:v>
                </c:pt>
                <c:pt idx="48">
                  <c:v>0.53891</c:v>
                </c:pt>
                <c:pt idx="49">
                  <c:v>0.55029</c:v>
                </c:pt>
                <c:pt idx="50">
                  <c:v>0.56627</c:v>
                </c:pt>
                <c:pt idx="51">
                  <c:v>0.47874</c:v>
                </c:pt>
                <c:pt idx="52">
                  <c:v>0.47916</c:v>
                </c:pt>
                <c:pt idx="53">
                  <c:v>0.51675</c:v>
                </c:pt>
                <c:pt idx="54">
                  <c:v>0.51197</c:v>
                </c:pt>
                <c:pt idx="55">
                  <c:v>0.48026</c:v>
                </c:pt>
                <c:pt idx="56">
                  <c:v>0.48304</c:v>
                </c:pt>
                <c:pt idx="57">
                  <c:v>0.49358</c:v>
                </c:pt>
                <c:pt idx="58">
                  <c:v>0.52564</c:v>
                </c:pt>
                <c:pt idx="59">
                  <c:v>0.51852</c:v>
                </c:pt>
                <c:pt idx="60">
                  <c:v>0.56736</c:v>
                </c:pt>
                <c:pt idx="61">
                  <c:v>0.0</c:v>
                </c:pt>
                <c:pt idx="62">
                  <c:v>0.52273</c:v>
                </c:pt>
                <c:pt idx="63">
                  <c:v>0.0</c:v>
                </c:pt>
                <c:pt idx="64">
                  <c:v>0.47899</c:v>
                </c:pt>
                <c:pt idx="65">
                  <c:v>0.5277</c:v>
                </c:pt>
                <c:pt idx="66">
                  <c:v>0.0</c:v>
                </c:pt>
                <c:pt idx="67">
                  <c:v>0.50081</c:v>
                </c:pt>
                <c:pt idx="68">
                  <c:v>0.53465</c:v>
                </c:pt>
                <c:pt idx="69">
                  <c:v>0.55163</c:v>
                </c:pt>
                <c:pt idx="70">
                  <c:v>0.53323</c:v>
                </c:pt>
                <c:pt idx="71">
                  <c:v>0.45178</c:v>
                </c:pt>
                <c:pt idx="72">
                  <c:v>0.52071</c:v>
                </c:pt>
              </c:numCache>
            </c:numRef>
          </c:yVal>
          <c:smooth val="0"/>
          <c:extLst xmlns:c16r2="http://schemas.microsoft.com/office/drawing/2015/06/chart">
            <c:ext xmlns:c16="http://schemas.microsoft.com/office/drawing/2014/chart" uri="{C3380CC4-5D6E-409C-BE32-E72D297353CC}">
              <c16:uniqueId val="{00000000-6F0F-41CC-A97F-09B3BABF0A93}"/>
            </c:ext>
          </c:extLst>
        </c:ser>
        <c:ser>
          <c:idx val="1"/>
          <c:order val="1"/>
          <c:tx>
            <c:v>Middle Income Countries</c:v>
          </c:tx>
          <c:spPr>
            <a:ln w="19050">
              <a:noFill/>
            </a:ln>
          </c:spPr>
          <c:xVal>
            <c:numRef>
              <c:f>GCIPrawdata!$P$2537:$P$4109</c:f>
              <c:numCache>
                <c:formatCode>General</c:formatCode>
                <c:ptCount val="47"/>
                <c:pt idx="0">
                  <c:v>9099.592204447465</c:v>
                </c:pt>
                <c:pt idx="1">
                  <c:v>1287.599766485763</c:v>
                </c:pt>
                <c:pt idx="2">
                  <c:v>49.70036151136377</c:v>
                </c:pt>
                <c:pt idx="3">
                  <c:v>1508.251155682195</c:v>
                </c:pt>
                <c:pt idx="4">
                  <c:v>6878.449923183154</c:v>
                </c:pt>
                <c:pt idx="5">
                  <c:v>3561.718715056193</c:v>
                </c:pt>
                <c:pt idx="6">
                  <c:v>5426.848415225907</c:v>
                </c:pt>
                <c:pt idx="7">
                  <c:v>3429.632859473253</c:v>
                </c:pt>
                <c:pt idx="8">
                  <c:v>6961.065555525658</c:v>
                </c:pt>
                <c:pt idx="9">
                  <c:v>4817.061286828714</c:v>
                </c:pt>
                <c:pt idx="10">
                  <c:v>6603.612242716421</c:v>
                </c:pt>
                <c:pt idx="11">
                  <c:v>4279.900619847765</c:v>
                </c:pt>
                <c:pt idx="12">
                  <c:v>2225.288849928749</c:v>
                </c:pt>
                <c:pt idx="13">
                  <c:v>5690.19910476602</c:v>
                </c:pt>
                <c:pt idx="14">
                  <c:v>3195.417990887178</c:v>
                </c:pt>
                <c:pt idx="15">
                  <c:v>0.0</c:v>
                </c:pt>
                <c:pt idx="16">
                  <c:v>4302.286453300188</c:v>
                </c:pt>
                <c:pt idx="17">
                  <c:v>2936.023097493639</c:v>
                </c:pt>
                <c:pt idx="18">
                  <c:v>8813.073529978425</c:v>
                </c:pt>
                <c:pt idx="19">
                  <c:v>5528.68467930858</c:v>
                </c:pt>
                <c:pt idx="20">
                  <c:v>3476.736460503143</c:v>
                </c:pt>
                <c:pt idx="21">
                  <c:v>8333.327657886364</c:v>
                </c:pt>
                <c:pt idx="22">
                  <c:v>2599.560535916668</c:v>
                </c:pt>
                <c:pt idx="23">
                  <c:v>5097.054635329433</c:v>
                </c:pt>
                <c:pt idx="24">
                  <c:v>9503.469323147601</c:v>
                </c:pt>
                <c:pt idx="25">
                  <c:v>4113.375764104113</c:v>
                </c:pt>
                <c:pt idx="26">
                  <c:v>10054.75810927685</c:v>
                </c:pt>
                <c:pt idx="27">
                  <c:v>19658.30795039767</c:v>
                </c:pt>
                <c:pt idx="28">
                  <c:v>9332.098330789844</c:v>
                </c:pt>
                <c:pt idx="29">
                  <c:v>5504.685360692757</c:v>
                </c:pt>
                <c:pt idx="30">
                  <c:v>9795.25344643933</c:v>
                </c:pt>
                <c:pt idx="31">
                  <c:v>6795.488522757256</c:v>
                </c:pt>
                <c:pt idx="32">
                  <c:v>10174.24423692043</c:v>
                </c:pt>
                <c:pt idx="33">
                  <c:v>8821.259102548753</c:v>
                </c:pt>
                <c:pt idx="34">
                  <c:v>7497.827551820323</c:v>
                </c:pt>
                <c:pt idx="35">
                  <c:v>8159.3288110956</c:v>
                </c:pt>
                <c:pt idx="36">
                  <c:v>10556.06403116232</c:v>
                </c:pt>
                <c:pt idx="37">
                  <c:v>12821.72359999678</c:v>
                </c:pt>
                <c:pt idx="38">
                  <c:v>4321.32054695478</c:v>
                </c:pt>
                <c:pt idx="39">
                  <c:v>13888.82079359976</c:v>
                </c:pt>
                <c:pt idx="40">
                  <c:v>0.0</c:v>
                </c:pt>
                <c:pt idx="41">
                  <c:v>19484.56168778476</c:v>
                </c:pt>
                <c:pt idx="42">
                  <c:v>3522.330630695571</c:v>
                </c:pt>
                <c:pt idx="43">
                  <c:v>23873.14348711474</c:v>
                </c:pt>
                <c:pt idx="44">
                  <c:v>0.0</c:v>
                </c:pt>
                <c:pt idx="45">
                  <c:v>24379.72364427826</c:v>
                </c:pt>
                <c:pt idx="46">
                  <c:v>18021.21945377206</c:v>
                </c:pt>
              </c:numCache>
            </c:numRef>
          </c:xVal>
          <c:yVal>
            <c:numRef>
              <c:f>GCIPrawdata!$Q$2537:$Q$4109</c:f>
              <c:numCache>
                <c:formatCode>General</c:formatCode>
                <c:ptCount val="47"/>
                <c:pt idx="0">
                  <c:v>0.48531</c:v>
                </c:pt>
                <c:pt idx="1">
                  <c:v>0.56009</c:v>
                </c:pt>
                <c:pt idx="2">
                  <c:v>0.48828</c:v>
                </c:pt>
                <c:pt idx="3">
                  <c:v>0.5234</c:v>
                </c:pt>
                <c:pt idx="4">
                  <c:v>0.51663</c:v>
                </c:pt>
                <c:pt idx="5">
                  <c:v>0.495</c:v>
                </c:pt>
                <c:pt idx="6">
                  <c:v>0.45026</c:v>
                </c:pt>
                <c:pt idx="7">
                  <c:v>0.54642</c:v>
                </c:pt>
                <c:pt idx="8">
                  <c:v>0.54098</c:v>
                </c:pt>
                <c:pt idx="9">
                  <c:v>0.57288</c:v>
                </c:pt>
                <c:pt idx="10">
                  <c:v>0.63474</c:v>
                </c:pt>
                <c:pt idx="11">
                  <c:v>0.0</c:v>
                </c:pt>
                <c:pt idx="12">
                  <c:v>0.53565</c:v>
                </c:pt>
                <c:pt idx="13">
                  <c:v>0.52127</c:v>
                </c:pt>
                <c:pt idx="14">
                  <c:v>0.51133</c:v>
                </c:pt>
                <c:pt idx="15">
                  <c:v>0.46384</c:v>
                </c:pt>
                <c:pt idx="16">
                  <c:v>0.60376</c:v>
                </c:pt>
                <c:pt idx="17">
                  <c:v>0.44835</c:v>
                </c:pt>
                <c:pt idx="18">
                  <c:v>0.50783</c:v>
                </c:pt>
                <c:pt idx="19">
                  <c:v>0.43795</c:v>
                </c:pt>
                <c:pt idx="20">
                  <c:v>0.51216</c:v>
                </c:pt>
                <c:pt idx="21">
                  <c:v>0.48131</c:v>
                </c:pt>
                <c:pt idx="22">
                  <c:v>0.46654</c:v>
                </c:pt>
                <c:pt idx="23">
                  <c:v>0.47197</c:v>
                </c:pt>
                <c:pt idx="24">
                  <c:v>0.47952</c:v>
                </c:pt>
                <c:pt idx="25">
                  <c:v>0.55806</c:v>
                </c:pt>
                <c:pt idx="26">
                  <c:v>0.44025</c:v>
                </c:pt>
                <c:pt idx="27">
                  <c:v>0.41291</c:v>
                </c:pt>
                <c:pt idx="28">
                  <c:v>0.44545</c:v>
                </c:pt>
                <c:pt idx="29">
                  <c:v>0.48958</c:v>
                </c:pt>
                <c:pt idx="30">
                  <c:v>0.41479</c:v>
                </c:pt>
                <c:pt idx="31">
                  <c:v>0.49103</c:v>
                </c:pt>
                <c:pt idx="32">
                  <c:v>0.43849</c:v>
                </c:pt>
                <c:pt idx="33">
                  <c:v>0.49473</c:v>
                </c:pt>
                <c:pt idx="34">
                  <c:v>0.43958</c:v>
                </c:pt>
                <c:pt idx="35">
                  <c:v>0.48439</c:v>
                </c:pt>
                <c:pt idx="36">
                  <c:v>0.42926</c:v>
                </c:pt>
                <c:pt idx="37">
                  <c:v>0.4078</c:v>
                </c:pt>
                <c:pt idx="38">
                  <c:v>0.47316</c:v>
                </c:pt>
                <c:pt idx="39">
                  <c:v>0.39879</c:v>
                </c:pt>
                <c:pt idx="40">
                  <c:v>0.45907</c:v>
                </c:pt>
                <c:pt idx="41">
                  <c:v>0.43545</c:v>
                </c:pt>
                <c:pt idx="42">
                  <c:v>0.55846</c:v>
                </c:pt>
                <c:pt idx="43">
                  <c:v>0.44014</c:v>
                </c:pt>
                <c:pt idx="44">
                  <c:v>0.0</c:v>
                </c:pt>
                <c:pt idx="45">
                  <c:v>0.48037</c:v>
                </c:pt>
                <c:pt idx="46">
                  <c:v>0.40088</c:v>
                </c:pt>
              </c:numCache>
            </c:numRef>
          </c:yVal>
          <c:smooth val="0"/>
          <c:extLst xmlns:c16r2="http://schemas.microsoft.com/office/drawing/2015/06/chart">
            <c:ext xmlns:c16="http://schemas.microsoft.com/office/drawing/2014/chart" uri="{C3380CC4-5D6E-409C-BE32-E72D297353CC}">
              <c16:uniqueId val="{00000001-6F0F-41CC-A97F-09B3BABF0A93}"/>
            </c:ext>
          </c:extLst>
        </c:ser>
        <c:ser>
          <c:idx val="2"/>
          <c:order val="2"/>
          <c:tx>
            <c:v>High Income Countries </c:v>
          </c:tx>
          <c:spPr>
            <a:ln w="19050">
              <a:noFill/>
            </a:ln>
          </c:spPr>
          <c:xVal>
            <c:numRef>
              <c:f>GCIPrawdata!$P$4144:$P$4798</c:f>
              <c:numCache>
                <c:formatCode>General</c:formatCode>
                <c:ptCount val="20"/>
                <c:pt idx="0">
                  <c:v>24035.72297799629</c:v>
                </c:pt>
                <c:pt idx="1">
                  <c:v>29289.15507089324</c:v>
                </c:pt>
                <c:pt idx="2">
                  <c:v>32114.69640700816</c:v>
                </c:pt>
                <c:pt idx="3">
                  <c:v>34199.77874072352</c:v>
                </c:pt>
                <c:pt idx="4">
                  <c:v>14967.00086097937</c:v>
                </c:pt>
                <c:pt idx="5">
                  <c:v>35491.23756934096</c:v>
                </c:pt>
                <c:pt idx="6">
                  <c:v>33139.0804392663</c:v>
                </c:pt>
                <c:pt idx="7">
                  <c:v>32275.9222852732</c:v>
                </c:pt>
                <c:pt idx="8">
                  <c:v>38027.9813929203</c:v>
                </c:pt>
                <c:pt idx="9">
                  <c:v>31052.40587345473</c:v>
                </c:pt>
                <c:pt idx="10">
                  <c:v>43518.32532394175</c:v>
                </c:pt>
                <c:pt idx="11">
                  <c:v>36563.30025336753</c:v>
                </c:pt>
                <c:pt idx="12">
                  <c:v>34054.49801849071</c:v>
                </c:pt>
                <c:pt idx="13">
                  <c:v>38603.03338901775</c:v>
                </c:pt>
                <c:pt idx="14">
                  <c:v>34706.18654316279</c:v>
                </c:pt>
                <c:pt idx="15">
                  <c:v>37323.36290092295</c:v>
                </c:pt>
                <c:pt idx="16">
                  <c:v>49326.12534342062</c:v>
                </c:pt>
                <c:pt idx="17">
                  <c:v>55501.70228629229</c:v>
                </c:pt>
                <c:pt idx="18">
                  <c:v>41290.98609763983</c:v>
                </c:pt>
                <c:pt idx="19">
                  <c:v>21743.02958296302</c:v>
                </c:pt>
              </c:numCache>
            </c:numRef>
          </c:xVal>
          <c:yVal>
            <c:numRef>
              <c:f>GCIPrawdata!$Q$4144:$Q$4798</c:f>
              <c:numCache>
                <c:formatCode>General</c:formatCode>
                <c:ptCount val="20"/>
                <c:pt idx="0">
                  <c:v>0.45273</c:v>
                </c:pt>
                <c:pt idx="1">
                  <c:v>0.48037</c:v>
                </c:pt>
                <c:pt idx="2">
                  <c:v>0.42423</c:v>
                </c:pt>
                <c:pt idx="3">
                  <c:v>0.42318</c:v>
                </c:pt>
                <c:pt idx="4">
                  <c:v>0.43127</c:v>
                </c:pt>
                <c:pt idx="5">
                  <c:v>0.40338</c:v>
                </c:pt>
                <c:pt idx="6">
                  <c:v>0.41009</c:v>
                </c:pt>
                <c:pt idx="7">
                  <c:v>0.42612</c:v>
                </c:pt>
                <c:pt idx="8">
                  <c:v>0.40317</c:v>
                </c:pt>
                <c:pt idx="9">
                  <c:v>0.41553</c:v>
                </c:pt>
                <c:pt idx="10">
                  <c:v>0.40087</c:v>
                </c:pt>
                <c:pt idx="11">
                  <c:v>0.41139</c:v>
                </c:pt>
                <c:pt idx="12">
                  <c:v>0.44046</c:v>
                </c:pt>
                <c:pt idx="13">
                  <c:v>0.43552</c:v>
                </c:pt>
                <c:pt idx="14">
                  <c:v>0.43367</c:v>
                </c:pt>
                <c:pt idx="15">
                  <c:v>0.43227</c:v>
                </c:pt>
                <c:pt idx="16">
                  <c:v>0.42563</c:v>
                </c:pt>
                <c:pt idx="17">
                  <c:v>0.40228</c:v>
                </c:pt>
                <c:pt idx="18">
                  <c:v>0.46791</c:v>
                </c:pt>
                <c:pt idx="19">
                  <c:v>0.46514</c:v>
                </c:pt>
              </c:numCache>
            </c:numRef>
          </c:yVal>
          <c:smooth val="0"/>
          <c:extLst xmlns:c16r2="http://schemas.microsoft.com/office/drawing/2015/06/chart">
            <c:ext xmlns:c16="http://schemas.microsoft.com/office/drawing/2014/chart" uri="{C3380CC4-5D6E-409C-BE32-E72D297353CC}">
              <c16:uniqueId val="{00000002-6F0F-41CC-A97F-09B3BABF0A93}"/>
            </c:ext>
          </c:extLst>
        </c:ser>
        <c:dLbls>
          <c:showLegendKey val="0"/>
          <c:showVal val="0"/>
          <c:showCatName val="0"/>
          <c:showSerName val="0"/>
          <c:showPercent val="0"/>
          <c:showBubbleSize val="0"/>
        </c:dLbls>
        <c:axId val="-2021971304"/>
        <c:axId val="-2021965688"/>
      </c:scatterChart>
      <c:valAx>
        <c:axId val="-2021971304"/>
        <c:scaling>
          <c:orientation val="minMax"/>
        </c:scaling>
        <c:delete val="0"/>
        <c:axPos val="b"/>
        <c:title>
          <c:tx>
            <c:rich>
              <a:bodyPr/>
              <a:lstStyle/>
              <a:p>
                <a:pPr>
                  <a:defRPr/>
                </a:pPr>
                <a:r>
                  <a:rPr lang="en-US"/>
                  <a:t>Consumer</a:t>
                </a:r>
                <a:r>
                  <a:rPr lang="en-US" baseline="0"/>
                  <a:t> Expenditure per Capita (US$)</a:t>
                </a:r>
              </a:p>
            </c:rich>
          </c:tx>
          <c:layout/>
          <c:overlay val="0"/>
        </c:title>
        <c:numFmt formatCode="General" sourceLinked="1"/>
        <c:majorTickMark val="out"/>
        <c:minorTickMark val="none"/>
        <c:tickLblPos val="nextTo"/>
        <c:crossAx val="-2021965688"/>
        <c:crosses val="autoZero"/>
        <c:crossBetween val="midCat"/>
      </c:valAx>
      <c:valAx>
        <c:axId val="-2021965688"/>
        <c:scaling>
          <c:orientation val="minMax"/>
          <c:max val="0.7"/>
          <c:min val="0.35"/>
        </c:scaling>
        <c:delete val="0"/>
        <c:axPos val="l"/>
        <c:majorGridlines/>
        <c:title>
          <c:tx>
            <c:rich>
              <a:bodyPr rot="-5400000" vert="horz"/>
              <a:lstStyle/>
              <a:p>
                <a:pPr>
                  <a:defRPr/>
                </a:pPr>
                <a:r>
                  <a:rPr lang="en-US"/>
                  <a:t>Gini Co-efficient</a:t>
                </a:r>
              </a:p>
            </c:rich>
          </c:tx>
          <c:layout/>
          <c:overlay val="0"/>
        </c:title>
        <c:numFmt formatCode="General" sourceLinked="1"/>
        <c:majorTickMark val="out"/>
        <c:minorTickMark val="none"/>
        <c:tickLblPos val="nextTo"/>
        <c:crossAx val="-2021971304"/>
        <c:crosses val="autoZero"/>
        <c:crossBetween val="midCat"/>
      </c:valAx>
    </c:plotArea>
    <c:legend>
      <c:legendPos val="r"/>
      <c:layout/>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9226BD5144AF246AB8A57AF2D3EB7A5"/>
        <w:category>
          <w:name w:val="General"/>
          <w:gallery w:val="placeholder"/>
        </w:category>
        <w:types>
          <w:type w:val="bbPlcHdr"/>
        </w:types>
        <w:behaviors>
          <w:behavior w:val="content"/>
        </w:behaviors>
        <w:guid w:val="{17A25443-88B0-9C41-8459-1E671E892E86}"/>
      </w:docPartPr>
      <w:docPartBody>
        <w:p w:rsidR="007A54DC" w:rsidRDefault="00881F0C" w:rsidP="00881F0C">
          <w:pPr>
            <w:pStyle w:val="D9226BD5144AF246AB8A57AF2D3EB7A5"/>
          </w:pPr>
          <w:r>
            <w:t>[Type text]</w:t>
          </w:r>
        </w:p>
      </w:docPartBody>
    </w:docPart>
    <w:docPart>
      <w:docPartPr>
        <w:name w:val="C168E2586649DC489EF050DEF2463353"/>
        <w:category>
          <w:name w:val="General"/>
          <w:gallery w:val="placeholder"/>
        </w:category>
        <w:types>
          <w:type w:val="bbPlcHdr"/>
        </w:types>
        <w:behaviors>
          <w:behavior w:val="content"/>
        </w:behaviors>
        <w:guid w:val="{A689986D-359F-C343-AAA9-D06EBB27AB82}"/>
      </w:docPartPr>
      <w:docPartBody>
        <w:p w:rsidR="007A54DC" w:rsidRDefault="00881F0C" w:rsidP="00881F0C">
          <w:pPr>
            <w:pStyle w:val="C168E2586649DC489EF050DEF2463353"/>
          </w:pPr>
          <w:r>
            <w:t>[Type text]</w:t>
          </w:r>
        </w:p>
      </w:docPartBody>
    </w:docPart>
    <w:docPart>
      <w:docPartPr>
        <w:name w:val="82BD137323BE704A968D6DB80F2A6E23"/>
        <w:category>
          <w:name w:val="General"/>
          <w:gallery w:val="placeholder"/>
        </w:category>
        <w:types>
          <w:type w:val="bbPlcHdr"/>
        </w:types>
        <w:behaviors>
          <w:behavior w:val="content"/>
        </w:behaviors>
        <w:guid w:val="{EE8A7AA3-759D-274D-9569-3736916F180D}"/>
      </w:docPartPr>
      <w:docPartBody>
        <w:p w:rsidR="007A54DC" w:rsidRDefault="00881F0C" w:rsidP="00881F0C">
          <w:pPr>
            <w:pStyle w:val="82BD137323BE704A968D6DB80F2A6E23"/>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F0C"/>
    <w:rsid w:val="007A54DC"/>
    <w:rsid w:val="00881F0C"/>
    <w:rsid w:val="00D234C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226BD5144AF246AB8A57AF2D3EB7A5">
    <w:name w:val="D9226BD5144AF246AB8A57AF2D3EB7A5"/>
    <w:rsid w:val="00881F0C"/>
  </w:style>
  <w:style w:type="paragraph" w:customStyle="1" w:styleId="C168E2586649DC489EF050DEF2463353">
    <w:name w:val="C168E2586649DC489EF050DEF2463353"/>
    <w:rsid w:val="00881F0C"/>
  </w:style>
  <w:style w:type="paragraph" w:customStyle="1" w:styleId="82BD137323BE704A968D6DB80F2A6E23">
    <w:name w:val="82BD137323BE704A968D6DB80F2A6E23"/>
    <w:rsid w:val="00881F0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226BD5144AF246AB8A57AF2D3EB7A5">
    <w:name w:val="D9226BD5144AF246AB8A57AF2D3EB7A5"/>
    <w:rsid w:val="00881F0C"/>
  </w:style>
  <w:style w:type="paragraph" w:customStyle="1" w:styleId="C168E2586649DC489EF050DEF2463353">
    <w:name w:val="C168E2586649DC489EF050DEF2463353"/>
    <w:rsid w:val="00881F0C"/>
  </w:style>
  <w:style w:type="paragraph" w:customStyle="1" w:styleId="82BD137323BE704A968D6DB80F2A6E23">
    <w:name w:val="82BD137323BE704A968D6DB80F2A6E23"/>
    <w:rsid w:val="00881F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38086F34-939F-F645-BF80-BE2C0FC2A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1439</Words>
  <Characters>8208</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Hamzah Riaz</dc:creator>
  <cp:keywords/>
  <dc:description/>
  <cp:lastModifiedBy>Hamzah Riaz</cp:lastModifiedBy>
  <cp:revision>2</cp:revision>
  <dcterms:created xsi:type="dcterms:W3CDTF">2024-07-19T13:04:00Z</dcterms:created>
  <dcterms:modified xsi:type="dcterms:W3CDTF">2024-07-19T13:04:00Z</dcterms:modified>
</cp:coreProperties>
</file>