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Procedure de maintenance du portique de validation PV-300</w:t>
      </w:r>
    </w:p>
    <w:p>
      <w:r>
        <w:t>Cette procedure s'applique aux portiques PV-300 installes dans les stations du reseau.</w:t>
      </w:r>
    </w:p>
    <w:p>
      <w:pPr>
        <w:pStyle w:val="Heading2"/>
      </w:pPr>
      <w:r>
        <w:t>Securite</w:t>
      </w:r>
    </w:p>
    <w:p>
      <w:r>
        <w:t>Avant toute ouverture du capot, couper l'alimentation 48 V au disjoncteur Q2 et attendre 5 minutes pour la decharge des condensateurs. Le port des gants isolants classe 0 est obligatoire.</w:t>
      </w:r>
    </w:p>
    <w:p>
      <w:pPr>
        <w:pStyle w:val="Heading2"/>
      </w:pPr>
      <w:r>
        <w:t>Caracteristiques techniques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Parametre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Indice de protection</w:t>
            </w:r>
          </w:p>
        </w:tc>
        <w:tc>
          <w:tcPr>
            <w:tcW w:type="dxa" w:w="4320"/>
          </w:tcPr>
          <w:p>
            <w:r>
              <w:t>IP54</w:t>
            </w:r>
          </w:p>
        </w:tc>
      </w:tr>
      <w:tr>
        <w:tc>
          <w:tcPr>
            <w:tcW w:type="dxa" w:w="4320"/>
          </w:tcPr>
          <w:p>
            <w:r>
              <w:t>Temperature de fonctionnement</w:t>
            </w:r>
          </w:p>
        </w:tc>
        <w:tc>
          <w:tcPr>
            <w:tcW w:type="dxa" w:w="4320"/>
          </w:tcPr>
          <w:p>
            <w:r>
              <w:t>-20 C a +55 C</w:t>
            </w:r>
          </w:p>
        </w:tc>
      </w:tr>
      <w:tr>
        <w:tc>
          <w:tcPr>
            <w:tcW w:type="dxa" w:w="4320"/>
          </w:tcPr>
          <w:p>
            <w:r>
              <w:t>Debit maximal</w:t>
            </w:r>
          </w:p>
        </w:tc>
        <w:tc>
          <w:tcPr>
            <w:tcW w:type="dxa" w:w="4320"/>
          </w:tcPr>
          <w:p>
            <w:r>
              <w:t>45 passagers par minute</w:t>
            </w:r>
          </w:p>
        </w:tc>
      </w:tr>
      <w:tr>
        <w:tc>
          <w:tcPr>
            <w:tcW w:type="dxa" w:w="4320"/>
          </w:tcPr>
          <w:p>
            <w:r>
              <w:t>Interface</w:t>
            </w:r>
          </w:p>
        </w:tc>
        <w:tc>
          <w:tcPr>
            <w:tcW w:type="dxa" w:w="4320"/>
          </w:tcPr>
          <w:p>
            <w:r>
              <w:t>RS485 / Ethernet</w:t>
            </w:r>
          </w:p>
        </w:tc>
      </w:tr>
    </w:tbl>
    <w:p>
      <w:pPr>
        <w:pStyle w:val="Heading2"/>
      </w:pPr>
      <w:r>
        <w:t>Frequence de maintenance</w:t>
      </w:r>
    </w:p>
    <w:p>
      <w:r>
        <w:t>Nettoyage des lecteurs sans contact : tous les 15 jours. Verification des capteurs de passage : tous les 3 mois. Remplacement des batteries de secours : tous les 2 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