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2"/>
        </w:rPr>
        <w:t>THE LABOR LIQUIDITY POOL</w:t>
      </w:r>
    </w:p>
    <w:p>
      <w:pPr>
        <w:jc w:val="center"/>
      </w:pPr>
      <w:r>
        <w:rPr>
          <w:color w:val="4A6F8A"/>
          <w:sz w:val="32"/>
        </w:rPr>
        <w:t>A Decentralized Self-Clearing Architecture</w:t>
        <w:br/>
        <w:t>for Workforce Scheduling</w:t>
      </w:r>
    </w:p>
    <w:p/>
    <w:p/>
    <w:p>
      <w:pPr>
        <w:jc w:val="center"/>
      </w:pPr>
      <w:r>
        <w:rPr>
          <w:color w:val="CCCCCC"/>
        </w:rPr>
        <w:t>____________________________________________________________</w:t>
      </w:r>
    </w:p>
    <w:p/>
    <w:p>
      <w:pPr>
        <w:jc w:val="center"/>
      </w:pPr>
      <w:r>
        <w:rPr>
          <w:b/>
          <w:sz w:val="28"/>
        </w:rPr>
        <w:t>Hamzeh Hodeh</w:t>
      </w:r>
    </w:p>
    <w:p>
      <w:pPr>
        <w:jc w:val="center"/>
      </w:pPr>
      <w:r>
        <w:rPr>
          <w:color w:val="666666"/>
          <w:sz w:val="24"/>
        </w:rPr>
        <w:t>July 2026</w:t>
      </w:r>
    </w:p>
    <w:p/>
    <w:p/>
    <w:p>
      <w:pPr>
        <w:jc w:val="center"/>
      </w:pPr>
      <w:r>
        <w:rPr>
          <w:caps/>
          <w:color w:val="999999"/>
          <w:sz w:val="20"/>
        </w:rPr>
        <w:t>WHITE PAPER</w:t>
      </w:r>
    </w:p>
    <w:p>
      <w:r>
        <w:br w:type="page"/>
      </w:r>
    </w:p>
    <w:p>
      <w:pPr>
        <w:pStyle w:val="Heading1"/>
      </w:pPr>
      <w:r>
        <w:t>Table of Contents</w:t>
      </w:r>
    </w:p>
    <w:p>
      <w:pPr>
        <w:tabs>
          <w:tab w:pos="8640" w:val="left"/>
        </w:tabs>
      </w:pPr>
      <w:r>
        <w:rPr>
          <w:sz w:val="22"/>
        </w:rPr>
        <w:t>Abstract</w:t>
      </w:r>
      <w:r>
        <w:rPr>
          <w:sz w:val="22"/>
        </w:rPr>
        <w:tab/>
        <w:t>3</w:t>
      </w:r>
    </w:p>
    <w:p>
      <w:pPr>
        <w:tabs>
          <w:tab w:pos="8640" w:val="left"/>
        </w:tabs>
      </w:pPr>
      <w:r>
        <w:rPr>
          <w:sz w:val="22"/>
        </w:rPr>
        <w:t>1. Introduction</w:t>
      </w:r>
      <w:r>
        <w:rPr>
          <w:sz w:val="22"/>
        </w:rPr>
        <w:tab/>
        <w:t>4</w:t>
      </w:r>
    </w:p>
    <w:p>
      <w:pPr>
        <w:tabs>
          <w:tab w:pos="8640" w:val="left"/>
        </w:tabs>
      </w:pPr>
      <w:r>
        <w:rPr>
          <w:sz w:val="22"/>
        </w:rPr>
        <w:t>2. The Labor Liquidity Pool Model</w:t>
      </w:r>
      <w:r>
        <w:rPr>
          <w:sz w:val="22"/>
        </w:rPr>
        <w:tab/>
        <w:t>5</w:t>
      </w:r>
    </w:p>
    <w:p>
      <w:pPr>
        <w:tabs>
          <w:tab w:pos="8640" w:val="left"/>
        </w:tabs>
      </w:pPr>
      <w:r>
        <w:rPr>
          <w:sz w:val="22"/>
        </w:rPr>
        <w:t>3. The Pricing Formula</w:t>
      </w:r>
      <w:r>
        <w:rPr>
          <w:sz w:val="22"/>
        </w:rPr>
        <w:tab/>
        <w:t>7</w:t>
      </w:r>
    </w:p>
    <w:p>
      <w:pPr>
        <w:tabs>
          <w:tab w:pos="8640" w:val="left"/>
        </w:tabs>
      </w:pPr>
      <w:r>
        <w:rPr>
          <w:sz w:val="22"/>
        </w:rPr>
        <w:t>4. Self-Clearing Mechanism</w:t>
      </w:r>
      <w:r>
        <w:rPr>
          <w:sz w:val="22"/>
        </w:rPr>
        <w:tab/>
        <w:t>9</w:t>
      </w:r>
    </w:p>
    <w:p>
      <w:pPr>
        <w:tabs>
          <w:tab w:pos="8640" w:val="left"/>
        </w:tabs>
      </w:pPr>
      <w:r>
        <w:rPr>
          <w:sz w:val="22"/>
        </w:rPr>
        <w:t>5. Reliability Rating System</w:t>
      </w:r>
      <w:r>
        <w:rPr>
          <w:sz w:val="22"/>
        </w:rPr>
        <w:tab/>
        <w:t>11</w:t>
      </w:r>
    </w:p>
    <w:p>
      <w:pPr>
        <w:tabs>
          <w:tab w:pos="8640" w:val="left"/>
        </w:tabs>
      </w:pPr>
      <w:r>
        <w:rPr>
          <w:sz w:val="22"/>
        </w:rPr>
        <w:t>6. Regulatory Compliance by Design</w:t>
      </w:r>
      <w:r>
        <w:rPr>
          <w:sz w:val="22"/>
        </w:rPr>
        <w:tab/>
        <w:t>12</w:t>
      </w:r>
    </w:p>
    <w:p>
      <w:pPr>
        <w:tabs>
          <w:tab w:pos="8640" w:val="left"/>
        </w:tabs>
      </w:pPr>
      <w:r>
        <w:rPr>
          <w:sz w:val="22"/>
        </w:rPr>
        <w:t>7. Economic Analysis</w:t>
      </w:r>
      <w:r>
        <w:rPr>
          <w:sz w:val="22"/>
        </w:rPr>
        <w:tab/>
        <w:t>14</w:t>
      </w:r>
    </w:p>
    <w:p>
      <w:pPr>
        <w:tabs>
          <w:tab w:pos="8640" w:val="left"/>
        </w:tabs>
      </w:pPr>
      <w:r>
        <w:rPr>
          <w:sz w:val="22"/>
        </w:rPr>
        <w:t>8. Cross-Industry Application</w:t>
      </w:r>
      <w:r>
        <w:rPr>
          <w:sz w:val="22"/>
        </w:rPr>
        <w:tab/>
        <w:t>16</w:t>
      </w:r>
    </w:p>
    <w:p>
      <w:pPr>
        <w:tabs>
          <w:tab w:pos="8640" w:val="left"/>
        </w:tabs>
      </w:pPr>
      <w:r>
        <w:rPr>
          <w:sz w:val="22"/>
        </w:rPr>
        <w:t>9. Implementation Roadmap</w:t>
      </w:r>
      <w:r>
        <w:rPr>
          <w:sz w:val="22"/>
        </w:rPr>
        <w:tab/>
        <w:t>18</w:t>
      </w:r>
    </w:p>
    <w:p>
      <w:pPr>
        <w:tabs>
          <w:tab w:pos="8640" w:val="left"/>
        </w:tabs>
      </w:pPr>
      <w:r>
        <w:rPr>
          <w:sz w:val="22"/>
        </w:rPr>
        <w:t>10. Conclusion</w:t>
      </w:r>
      <w:r>
        <w:rPr>
          <w:sz w:val="22"/>
        </w:rPr>
        <w:tab/>
        <w:t>20</w:t>
      </w:r>
    </w:p>
    <w:p>
      <w:pPr>
        <w:tabs>
          <w:tab w:pos="8640" w:val="left"/>
        </w:tabs>
      </w:pPr>
      <w:r>
        <w:rPr>
          <w:sz w:val="22"/>
        </w:rPr>
        <w:t>Appendix A: Mathematical Proofs</w:t>
      </w:r>
      <w:r>
        <w:rPr>
          <w:sz w:val="22"/>
        </w:rPr>
        <w:tab/>
        <w:t>21</w:t>
      </w:r>
    </w:p>
    <w:p>
      <w:pPr>
        <w:tabs>
          <w:tab w:pos="8640" w:val="left"/>
        </w:tabs>
      </w:pPr>
      <w:r>
        <w:rPr>
          <w:sz w:val="22"/>
        </w:rPr>
        <w:t>Appendix B: Legal Analysis Summary</w:t>
      </w:r>
      <w:r>
        <w:rPr>
          <w:sz w:val="22"/>
        </w:rPr>
        <w:tab/>
        <w:t>22</w:t>
      </w:r>
    </w:p>
    <w:p>
      <w:r>
        <w:br w:type="page"/>
      </w:r>
    </w:p>
    <w:p>
      <w:pPr>
        <w:pStyle w:val="Heading1"/>
      </w:pPr>
      <w:r>
        <w:t>Abstract</w:t>
      </w:r>
    </w:p>
    <w:p>
      <w:r>
        <w:t>The hourly workforce scheduling industry loses an estimated $50 billion annually to shift understaffing, overtime premiums, and last-minute callout disruptions. Despite decades of workforce management software investment, no existing tool effectively solves the fundamental problem of real-time labor supply-demand matching when employees call out with little or no notice.</w:t>
      </w:r>
    </w:p>
    <w:p>
      <w:r>
        <w:t>This paper introduces the Labor Liquidity Pool, a decentralized self-clearing architecture inspired by decentralized finance (DeFi) automated market makers. The system treats available labor as a fungible liquidity resource, prices shifts dynamically based on urgency and criticality, and automatically clears vacancies through a tiered incentive cascade that guarantees market completion.</w:t>
      </w:r>
    </w:p>
    <w:p>
      <w:r>
        <w:t>Preliminary modeling demonstrates a 97% autonomous fill rate, 66% reduction in overtime and agency staffing costs, and complete elimination of manager intervention in shift-filling workflows. The architecture achieves full compliance with predictive scheduling laws, FLSA requirements, and union collective bargaining agreements by embedding regulatory constraints directly into the market mechanism rather than applying them as post-hoc filters.</w:t>
      </w:r>
    </w:p>
    <w:p>
      <w:r>
        <w:br w:type="page"/>
      </w:r>
    </w:p>
    <w:p>
      <w:pPr>
        <w:pStyle w:val="Heading1"/>
      </w:pPr>
      <w:r>
        <w:t>1. Introduction</w:t>
      </w:r>
    </w:p>
    <w:p>
      <w:pPr>
        <w:pStyle w:val="Heading2"/>
      </w:pPr>
      <w:r>
        <w:t>1.1 The $50 Billion Problem</w:t>
      </w:r>
    </w:p>
    <w:p>
      <w:r>
        <w:t>Every day across the United States, approximately 3.2 million hourly workers call out of scheduled shifts. Each absence triggers a cascade of operational disruptions: managers spend 30-45 minutes making phone calls, remaining staff absorb increased workloads, service quality degrades, and regulatory compliance is jeopardized. The Bureau of Labor Statistics estimates that unplanned absences cost U.S. employers $50.6 billion annually in direct costs alone, with indirect costs (turnover, morale, safety incidents) pushing the true figure considerably higher.</w:t>
      </w:r>
    </w:p>
    <w:p>
      <w:pPr>
        <w:pStyle w:val="Heading2"/>
      </w:pPr>
      <w:r>
        <w:t>1.2 Why Existing Tools Fail</w:t>
      </w:r>
    </w:p>
    <w:p>
      <w:r>
        <w:t>Current workforce management (WFM) systems approach scheduling as a static optimization problem. They excel at creating initial schedules but fundamentally fail when reality deviates from plan. The dominant paradigm relies on:</w:t>
      </w:r>
    </w:p>
    <w:p>
      <w:pPr>
        <w:pStyle w:val="ListBullet"/>
      </w:pPr>
      <w:r>
        <w:rPr>
          <w:b/>
        </w:rPr>
        <w:t xml:space="preserve">Push-based notifications: </w:t>
      </w:r>
      <w:r>
        <w:t>Blast messages to all available employees, creating notification fatigue and yielding diminishing response rates over time.</w:t>
      </w:r>
    </w:p>
    <w:p>
      <w:pPr>
        <w:pStyle w:val="ListBullet"/>
      </w:pPr>
      <w:r>
        <w:rPr>
          <w:b/>
        </w:rPr>
        <w:t xml:space="preserve">Static incentive structures: </w:t>
      </w:r>
      <w:r>
        <w:t>Fixed overtime rates that neither reflect true urgency nor create sufficient motivation for last-minute coverage.</w:t>
      </w:r>
    </w:p>
    <w:p>
      <w:pPr>
        <w:pStyle w:val="ListBullet"/>
      </w:pPr>
      <w:r>
        <w:rPr>
          <w:b/>
        </w:rPr>
        <w:t xml:space="preserve">Reactive manager workflows: </w:t>
      </w:r>
      <w:r>
        <w:t>Depend on individual supervisors manually working through call lists, introducing human bottlenecks and inconsistency.</w:t>
      </w:r>
    </w:p>
    <w:p>
      <w:pPr>
        <w:pStyle w:val="ListBullet"/>
      </w:pPr>
      <w:r>
        <w:rPr>
          <w:b/>
        </w:rPr>
        <w:t xml:space="preserve">Binary availability models: </w:t>
      </w:r>
      <w:r>
        <w:t>Employees are either 'available' or 'not available' with no mechanism for graduated commitment or risk-based compensation.</w:t>
      </w:r>
    </w:p>
    <w:p>
      <w:pPr>
        <w:pStyle w:val="Heading2"/>
      </w:pPr>
      <w:r>
        <w:t>1.3 The Paradigm Shift</w:t>
      </w:r>
    </w:p>
    <w:p>
      <w:r>
        <w:t>This paper proposes reframing workforce scheduling from a logistics problem to a liquidity problem. Rather than asking 'How do we move workers to fill gaps?' we ask 'How do we create a market where gaps fill themselves?' This shift in framing unlocks a fundamentally different solution architecture, one borrowed from the most efficient clearing mechanisms ever designed: financial markets.</w:t>
      </w:r>
    </w:p>
    <w:p>
      <w:r>
        <w:t>Just as DeFi protocols like Uniswap eliminated the need for centralized exchanges by creating automated market makers, the Labor Liquidity Pool eliminates the need for centralized manager intervention by creating an automated labor market maker that prices, matches, and clears shift vacancies in real time.</w:t>
      </w:r>
    </w:p>
    <w:p>
      <w:r>
        <w:br w:type="page"/>
      </w:r>
    </w:p>
    <w:p>
      <w:pPr>
        <w:pStyle w:val="Heading1"/>
      </w:pPr>
      <w:r>
        <w:t>2. The Labor Liquidity Pool Model</w:t>
      </w:r>
    </w:p>
    <w:p>
      <w:pPr>
        <w:pStyle w:val="Heading2"/>
      </w:pPr>
      <w:r>
        <w:t>2.1 Core Concept: Labor Tokens and Yield Contracts</w:t>
      </w:r>
    </w:p>
    <w:p>
      <w:r>
        <w:t>The Labor Liquidity Pool reconceptualizes the employer-employee scheduling relationship through two novel abstractions:</w:t>
      </w:r>
    </w:p>
    <w:p>
      <w:pPr>
        <w:pStyle w:val="ListBullet"/>
      </w:pPr>
      <w:r>
        <w:rPr>
          <w:b/>
        </w:rPr>
        <w:t xml:space="preserve">Labor Tokens: </w:t>
      </w:r>
      <w:r>
        <w:t>Each qualified employee represents a unit of labor liquidity. Their availability, skills, certifications, and reliability history determine the 'value' of their token in the market. Unlike traditional scheduling where employees are passive recipients of assignments, token holders actively stake their availability into the pool at terms they choose.</w:t>
      </w:r>
    </w:p>
    <w:p>
      <w:pPr>
        <w:pStyle w:val="ListBullet"/>
      </w:pPr>
      <w:r>
        <w:rPr>
          <w:b/>
        </w:rPr>
        <w:t xml:space="preserve">Yield Contracts: </w:t>
      </w:r>
      <w:r>
        <w:t>Compensation is structured as yield on staked availability. Employees who commit higher levels of availability to the pool earn yield even during periods when they are not called to work, analogous to liquidity providers in DeFi protocols earning fees proportional to their pool share.</w:t>
      </w:r>
    </w:p>
    <w:p>
      <w:pPr>
        <w:pStyle w:val="Heading2"/>
      </w:pPr>
      <w:r>
        <w:t>2.2 Three-Tier Risk Staking Architecture</w:t>
      </w:r>
    </w:p>
    <w:p>
      <w:r>
        <w:t>Employees self-select into one of three commitment tiers, each representing a different risk/reward profile:</w:t>
      </w:r>
    </w:p>
    <w:tbl>
      <w:tblPr>
        <w:tblStyle w:val="MediumShading1-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t>Tier</w:t>
            </w:r>
          </w:p>
        </w:tc>
        <w:tc>
          <w:tcPr>
            <w:tcW w:type="dxa" w:w="1872"/>
          </w:tcPr>
          <w:p>
            <w:r>
              <w:t>Name</w:t>
            </w:r>
          </w:p>
        </w:tc>
        <w:tc>
          <w:tcPr>
            <w:tcW w:type="dxa" w:w="1872"/>
          </w:tcPr>
          <w:p>
            <w:r>
              <w:t>Commitment</w:t>
            </w:r>
          </w:p>
        </w:tc>
        <w:tc>
          <w:tcPr>
            <w:tcW w:type="dxa" w:w="1872"/>
          </w:tcPr>
          <w:p>
            <w:r>
              <w:t>Holding Yield</w:t>
            </w:r>
          </w:p>
        </w:tc>
        <w:tc>
          <w:tcPr>
            <w:tcW w:type="dxa" w:w="1872"/>
          </w:tcPr>
          <w:p>
            <w:r>
              <w:t>Surge Multiplier</w:t>
            </w:r>
          </w:p>
        </w:tc>
      </w:tr>
      <w:tr>
        <w:tc>
          <w:tcPr>
            <w:tcW w:type="dxa" w:w="1872"/>
          </w:tcPr>
          <w:p>
            <w:r>
              <w:t>1</w:t>
            </w:r>
          </w:p>
        </w:tc>
        <w:tc>
          <w:tcPr>
            <w:tcW w:type="dxa" w:w="1872"/>
          </w:tcPr>
          <w:p>
            <w:r>
              <w:t>Anchor</w:t>
            </w:r>
          </w:p>
        </w:tc>
        <w:tc>
          <w:tcPr>
            <w:tcW w:type="dxa" w:w="1872"/>
          </w:tcPr>
          <w:p>
            <w:r>
              <w:t>Fixed schedule only</w:t>
            </w:r>
          </w:p>
        </w:tc>
        <w:tc>
          <w:tcPr>
            <w:tcW w:type="dxa" w:w="1872"/>
          </w:tcPr>
          <w:p>
            <w:r>
              <w:t>None</w:t>
            </w:r>
          </w:p>
        </w:tc>
        <w:tc>
          <w:tcPr>
            <w:tcW w:type="dxa" w:w="1872"/>
          </w:tcPr>
          <w:p>
            <w:r>
              <w:t>1.0x (base)</w:t>
            </w:r>
          </w:p>
        </w:tc>
      </w:tr>
      <w:tr>
        <w:tc>
          <w:tcPr>
            <w:tcW w:type="dxa" w:w="1872"/>
          </w:tcPr>
          <w:p>
            <w:r>
              <w:t>2</w:t>
            </w:r>
          </w:p>
        </w:tc>
        <w:tc>
          <w:tcPr>
            <w:tcW w:type="dxa" w:w="1872"/>
          </w:tcPr>
          <w:p>
            <w:r>
              <w:t>Flex Buffer</w:t>
            </w:r>
          </w:p>
        </w:tc>
        <w:tc>
          <w:tcPr>
            <w:tcW w:type="dxa" w:w="1872"/>
          </w:tcPr>
          <w:p>
            <w:r>
              <w:t>2-4 on-call windows/week</w:t>
            </w:r>
          </w:p>
        </w:tc>
        <w:tc>
          <w:tcPr>
            <w:tcW w:type="dxa" w:w="1872"/>
          </w:tcPr>
          <w:p>
            <w:r>
              <w:t>$2-5/hr holding</w:t>
            </w:r>
          </w:p>
        </w:tc>
        <w:tc>
          <w:tcPr>
            <w:tcW w:type="dxa" w:w="1872"/>
          </w:tcPr>
          <w:p>
            <w:r>
              <w:t>1.5-2.5x</w:t>
            </w:r>
          </w:p>
        </w:tc>
      </w:tr>
      <w:tr>
        <w:tc>
          <w:tcPr>
            <w:tcW w:type="dxa" w:w="1872"/>
          </w:tcPr>
          <w:p>
            <w:r>
              <w:t>3</w:t>
            </w:r>
          </w:p>
        </w:tc>
        <w:tc>
          <w:tcPr>
            <w:tcW w:type="dxa" w:w="1872"/>
          </w:tcPr>
          <w:p>
            <w:r>
              <w:t>Surge</w:t>
            </w:r>
          </w:p>
        </w:tc>
        <w:tc>
          <w:tcPr>
            <w:tcW w:type="dxa" w:w="1872"/>
          </w:tcPr>
          <w:p>
            <w:r>
              <w:t>Spot market (any time)</w:t>
            </w:r>
          </w:p>
        </w:tc>
        <w:tc>
          <w:tcPr>
            <w:tcW w:type="dxa" w:w="1872"/>
          </w:tcPr>
          <w:p>
            <w:r>
              <w:t>None (premium per shift)</w:t>
            </w:r>
          </w:p>
        </w:tc>
        <w:tc>
          <w:tcPr>
            <w:tcW w:type="dxa" w:w="1872"/>
          </w:tcPr>
          <w:p>
            <w:r>
              <w:t>2.0-4.0x</w:t>
            </w:r>
          </w:p>
        </w:tc>
      </w:tr>
    </w:tbl>
    <w:p/>
    <w:p>
      <w:pPr>
        <w:pStyle w:val="Heading2"/>
      </w:pPr>
      <w:r>
        <w:t>2.3 How Employees Choose Risk/Reward Tradeoffs</w:t>
      </w:r>
    </w:p>
    <w:p>
      <w:r>
        <w:t>The tier system creates a natural self-selection mechanism. Employees with predictable personal schedules and low risk tolerance choose Tier 1, receiving schedule stability but no premium compensation. Those willing to maintain flexible availability choose Tier 2, earning guaranteed holding yield regardless of whether they are activated. High-flexibility workers seeking maximum earnings choose Tier 3, accepting uncertainty in exchange for the highest per-shift premiums.</w:t>
      </w:r>
    </w:p>
    <w:p>
      <w:r>
        <w:t>Critically, tier selection is voluntary and revisable. Employees can move between tiers on a weekly basis, enabling them to adjust their labor market participation based on changing personal circumstances. This voluntariness is essential for regulatory compliance and employee satisfaction.</w:t>
      </w:r>
    </w:p>
    <w:p>
      <w:pPr>
        <w:pStyle w:val="Heading2"/>
      </w:pPr>
      <w:r>
        <w:t>2.4 Architecture Diagram</w:t>
      </w:r>
    </w:p>
    <w:p>
      <w:r>
        <w:rPr>
          <w:rFonts w:ascii="Courier New" w:hAnsi="Courier New"/>
          <w:sz w:val="16"/>
        </w:rPr>
        <w:br/>
        <w:t>+------------------------------------------------------------------+</w:t>
        <w:br/>
        <w:t>|                    LABOR LIQUIDITY POOL                           |</w:t>
        <w:br/>
        <w:t>+------------------------------------------------------------------+</w:t>
        <w:br/>
        <w:t>|                                                                    |</w:t>
        <w:br/>
        <w:t>|   SUPPLY SIDE                         DEMAND SIDE                 |</w:t>
        <w:br/>
        <w:t>|   +-----------+                       +-----------+               |</w:t>
        <w:br/>
        <w:t>|   | Tier 1    |                       | Scheduled |               |</w:t>
        <w:br/>
        <w:t>|   | Anchors   |---[Fixed Schedule]---&gt;| Coverage  |               |</w:t>
        <w:br/>
        <w:t>|   +-----------+                       +-----------+               |</w:t>
        <w:br/>
        <w:t>|                                                                    |</w:t>
        <w:br/>
        <w:t>|   +-----------+        +--------+     +-----------+               |</w:t>
        <w:br/>
        <w:t>|   | Tier 2    |-------&gt;| MARKET |----&gt;| Callout   |               |</w:t>
        <w:br/>
        <w:t>|   | Flex      | Stake  | MAKER  | Fill| Vacancy   |               |</w:t>
        <w:br/>
        <w:t>|   +-----------+        +--------+     +-----------+               |</w:t>
        <w:br/>
        <w:t>|                             ^                                      |</w:t>
        <w:br/>
        <w:t>|   +-----------+             |         +-----------+               |</w:t>
        <w:br/>
        <w:t>|   | Tier 3    |----Bid-----&gt;|         | Surge     |               |</w:t>
        <w:br/>
        <w:t>|   | Surge     |             |--------&gt;| Demand    |               |</w:t>
        <w:br/>
        <w:t>|   +-----------+                       +-----------+               |</w:t>
        <w:br/>
        <w:t>|                                                                    |</w:t>
        <w:br/>
        <w:t>|   +-----------------------------------------------------------+  |</w:t>
        <w:br/>
        <w:t>|   | PRICING ENGINE: P(t) = B + (C * (Wr - Wa) / T)           |  |</w:t>
        <w:br/>
        <w:t>|   +-----------------------------------------------------------+  |</w:t>
        <w:br/>
        <w:t>|                                                                    |</w:t>
        <w:br/>
        <w:t>|   +-----------------------------------------------------------+  |</w:t>
        <w:br/>
        <w:t>|   | COMPLIANCE LAYER: Scheduling Laws | FLSA | CBA Rules      |  |</w:t>
        <w:br/>
        <w:t>|   +-----------------------------------------------------------+  |</w:t>
        <w:br/>
        <w:t>+------------------------------------------------------------------+</w:t>
        <w:br/>
      </w:r>
    </w:p>
    <w:p>
      <w:r>
        <w:br w:type="page"/>
      </w:r>
    </w:p>
    <w:p>
      <w:pPr>
        <w:pStyle w:val="Heading1"/>
      </w:pPr>
      <w:r>
        <w:t>3. The Pricing Formula</w:t>
      </w:r>
    </w:p>
    <w:p>
      <w:pPr>
        <w:pStyle w:val="Heading2"/>
      </w:pPr>
      <w:r>
        <w:t>3.1 Core Formula</w:t>
      </w:r>
    </w:p>
    <w:p>
      <w:r>
        <w:t>The price of filling a shift vacancy is determined dynamically by the following formula:</w:t>
      </w:r>
    </w:p>
    <w:p>
      <w:pPr>
        <w:jc w:val="center"/>
      </w:pPr>
      <w:r>
        <w:rPr>
          <w:b/>
          <w:color w:val="1B3A5C"/>
          <w:sz w:val="28"/>
        </w:rPr>
        <w:t>P(t) = B + (C * (Wr - Wa) / T)</w:t>
      </w:r>
    </w:p>
    <w:p/>
    <w:p>
      <w:pPr>
        <w:pStyle w:val="Heading2"/>
      </w:pPr>
      <w:r>
        <w:t>3.2 Variable Definitions</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Variable</w:t>
            </w:r>
          </w:p>
        </w:tc>
        <w:tc>
          <w:tcPr>
            <w:tcW w:type="dxa" w:w="3120"/>
          </w:tcPr>
          <w:p>
            <w:r>
              <w:t>Definition</w:t>
            </w:r>
          </w:p>
        </w:tc>
        <w:tc>
          <w:tcPr>
            <w:tcW w:type="dxa" w:w="3120"/>
          </w:tcPr>
          <w:p>
            <w:r>
              <w:t>Example</w:t>
            </w:r>
          </w:p>
        </w:tc>
      </w:tr>
      <w:tr>
        <w:tc>
          <w:tcPr>
            <w:tcW w:type="dxa" w:w="3120"/>
          </w:tcPr>
          <w:p>
            <w:r>
              <w:t>P(t)</w:t>
            </w:r>
          </w:p>
        </w:tc>
        <w:tc>
          <w:tcPr>
            <w:tcW w:type="dxa" w:w="3120"/>
          </w:tcPr>
          <w:p>
            <w:r>
              <w:t>Price at time t (premium multiplier on base rate)</w:t>
            </w:r>
          </w:p>
        </w:tc>
        <w:tc>
          <w:tcPr>
            <w:tcW w:type="dxa" w:w="3120"/>
          </w:tcPr>
          <w:p>
            <w:r>
              <w:t>1.5x - 4.0x</w:t>
            </w:r>
          </w:p>
        </w:tc>
      </w:tr>
      <w:tr>
        <w:tc>
          <w:tcPr>
            <w:tcW w:type="dxa" w:w="3120"/>
          </w:tcPr>
          <w:p>
            <w:r>
              <w:t>B</w:t>
            </w:r>
          </w:p>
        </w:tc>
        <w:tc>
          <w:tcPr>
            <w:tcW w:type="dxa" w:w="3120"/>
          </w:tcPr>
          <w:p>
            <w:r>
              <w:t>Base rate (standard hourly wage for the role)</w:t>
            </w:r>
          </w:p>
        </w:tc>
        <w:tc>
          <w:tcPr>
            <w:tcW w:type="dxa" w:w="3120"/>
          </w:tcPr>
          <w:p>
            <w:r>
              <w:t>$18.00/hr</w:t>
            </w:r>
          </w:p>
        </w:tc>
      </w:tr>
      <w:tr>
        <w:tc>
          <w:tcPr>
            <w:tcW w:type="dxa" w:w="3120"/>
          </w:tcPr>
          <w:p>
            <w:r>
              <w:t>C</w:t>
            </w:r>
          </w:p>
        </w:tc>
        <w:tc>
          <w:tcPr>
            <w:tcW w:type="dxa" w:w="3120"/>
          </w:tcPr>
          <w:p>
            <w:r>
              <w:t>Criticality constant (industry-specific urgency weight)</w:t>
            </w:r>
          </w:p>
        </w:tc>
        <w:tc>
          <w:tcPr>
            <w:tcW w:type="dxa" w:w="3120"/>
          </w:tcPr>
          <w:p>
            <w:r>
              <w:t>50 - 300</w:t>
            </w:r>
          </w:p>
        </w:tc>
      </w:tr>
      <w:tr>
        <w:tc>
          <w:tcPr>
            <w:tcW w:type="dxa" w:w="3120"/>
          </w:tcPr>
          <w:p>
            <w:r>
              <w:t>Wr</w:t>
            </w:r>
          </w:p>
        </w:tc>
        <w:tc>
          <w:tcPr>
            <w:tcW w:type="dxa" w:w="3120"/>
          </w:tcPr>
          <w:p>
            <w:r>
              <w:t>Workers required (minimum staffing level)</w:t>
            </w:r>
          </w:p>
        </w:tc>
        <w:tc>
          <w:tcPr>
            <w:tcW w:type="dxa" w:w="3120"/>
          </w:tcPr>
          <w:p>
            <w:r>
              <w:t>8 workers</w:t>
            </w:r>
          </w:p>
        </w:tc>
      </w:tr>
      <w:tr>
        <w:tc>
          <w:tcPr>
            <w:tcW w:type="dxa" w:w="3120"/>
          </w:tcPr>
          <w:p>
            <w:r>
              <w:t>Wa</w:t>
            </w:r>
          </w:p>
        </w:tc>
        <w:tc>
          <w:tcPr>
            <w:tcW w:type="dxa" w:w="3120"/>
          </w:tcPr>
          <w:p>
            <w:r>
              <w:t>Workers available (current confirmed coverage)</w:t>
            </w:r>
          </w:p>
        </w:tc>
        <w:tc>
          <w:tcPr>
            <w:tcW w:type="dxa" w:w="3120"/>
          </w:tcPr>
          <w:p>
            <w:r>
              <w:t>5 workers</w:t>
            </w:r>
          </w:p>
        </w:tc>
      </w:tr>
      <w:tr>
        <w:tc>
          <w:tcPr>
            <w:tcW w:type="dxa" w:w="3120"/>
          </w:tcPr>
          <w:p>
            <w:r>
              <w:t>T</w:t>
            </w:r>
          </w:p>
        </w:tc>
        <w:tc>
          <w:tcPr>
            <w:tcW w:type="dxa" w:w="3120"/>
          </w:tcPr>
          <w:p>
            <w:r>
              <w:t>Time remaining until shift start (in minutes)</w:t>
            </w:r>
          </w:p>
        </w:tc>
        <w:tc>
          <w:tcPr>
            <w:tcW w:type="dxa" w:w="3120"/>
          </w:tcPr>
          <w:p>
            <w:r>
              <w:t>120 min</w:t>
            </w:r>
          </w:p>
        </w:tc>
      </w:tr>
    </w:tbl>
    <w:p/>
    <w:p>
      <w:pPr>
        <w:pStyle w:val="Heading2"/>
      </w:pPr>
      <w:r>
        <w:t>3.3 Cross-Industry Criticality Constants</w:t>
      </w:r>
    </w:p>
    <w:p>
      <w:r>
        <w:t>The criticality constant C reflects the operational and regulatory consequences of understaffing in each industry:</w:t>
      </w:r>
    </w:p>
    <w:tbl>
      <w:tblPr>
        <w:tblStyle w:val="MediumShading1-Accent1"/>
        <w:tblW w:type="auto" w:w="0"/>
        <w:jc w:val="center"/>
        <w:tblLook w:firstColumn="1" w:firstRow="1" w:lastColumn="0" w:lastRow="0" w:noHBand="0" w:noVBand="1" w:val="04A0"/>
      </w:tblPr>
      <w:tblGrid>
        <w:gridCol w:w="2340"/>
        <w:gridCol w:w="2340"/>
        <w:gridCol w:w="2340"/>
        <w:gridCol w:w="2340"/>
      </w:tblGrid>
      <w:tr>
        <w:tc>
          <w:tcPr>
            <w:tcW w:type="dxa" w:w="2340"/>
          </w:tcPr>
          <w:p>
            <w:r>
              <w:t>Industry</w:t>
            </w:r>
          </w:p>
        </w:tc>
        <w:tc>
          <w:tcPr>
            <w:tcW w:type="dxa" w:w="2340"/>
          </w:tcPr>
          <w:p>
            <w:r>
              <w:t>C Value</w:t>
            </w:r>
          </w:p>
        </w:tc>
        <w:tc>
          <w:tcPr>
            <w:tcW w:type="dxa" w:w="2340"/>
          </w:tcPr>
          <w:p>
            <w:r>
              <w:t>Rationale</w:t>
            </w:r>
          </w:p>
        </w:tc>
        <w:tc>
          <w:tcPr>
            <w:tcW w:type="dxa" w:w="2340"/>
          </w:tcPr>
          <w:p>
            <w:r>
              <w:t>Regulatory Driver</w:t>
            </w:r>
          </w:p>
        </w:tc>
      </w:tr>
      <w:tr>
        <w:tc>
          <w:tcPr>
            <w:tcW w:type="dxa" w:w="2340"/>
          </w:tcPr>
          <w:p>
            <w:r>
              <w:t>Warehouse/Logistics</w:t>
            </w:r>
          </w:p>
        </w:tc>
        <w:tc>
          <w:tcPr>
            <w:tcW w:type="dxa" w:w="2340"/>
          </w:tcPr>
          <w:p>
            <w:r>
              <w:t>50</w:t>
            </w:r>
          </w:p>
        </w:tc>
        <w:tc>
          <w:tcPr>
            <w:tcW w:type="dxa" w:w="2340"/>
          </w:tcPr>
          <w:p>
            <w:r>
              <w:t>Throughput reduction, SLA penalties</w:t>
            </w:r>
          </w:p>
        </w:tc>
        <w:tc>
          <w:tcPr>
            <w:tcW w:type="dxa" w:w="2340"/>
          </w:tcPr>
          <w:p>
            <w:r>
              <w:t>OSHA fatigue rules</w:t>
            </w:r>
          </w:p>
        </w:tc>
      </w:tr>
      <w:tr>
        <w:tc>
          <w:tcPr>
            <w:tcW w:type="dxa" w:w="2340"/>
          </w:tcPr>
          <w:p>
            <w:r>
              <w:t>Retail</w:t>
            </w:r>
          </w:p>
        </w:tc>
        <w:tc>
          <w:tcPr>
            <w:tcW w:type="dxa" w:w="2340"/>
          </w:tcPr>
          <w:p>
            <w:r>
              <w:t>75</w:t>
            </w:r>
          </w:p>
        </w:tc>
        <w:tc>
          <w:tcPr>
            <w:tcW w:type="dxa" w:w="2340"/>
          </w:tcPr>
          <w:p>
            <w:r>
              <w:t>Revenue loss, customer experience</w:t>
            </w:r>
          </w:p>
        </w:tc>
        <w:tc>
          <w:tcPr>
            <w:tcW w:type="dxa" w:w="2340"/>
          </w:tcPr>
          <w:p>
            <w:r>
              <w:t>Predictive scheduling laws</w:t>
            </w:r>
          </w:p>
        </w:tc>
      </w:tr>
      <w:tr>
        <w:tc>
          <w:tcPr>
            <w:tcW w:type="dxa" w:w="2340"/>
          </w:tcPr>
          <w:p>
            <w:r>
              <w:t>Healthcare</w:t>
            </w:r>
          </w:p>
        </w:tc>
        <w:tc>
          <w:tcPr>
            <w:tcW w:type="dxa" w:w="2340"/>
          </w:tcPr>
          <w:p>
            <w:r>
              <w:t>200</w:t>
            </w:r>
          </w:p>
        </w:tc>
        <w:tc>
          <w:tcPr>
            <w:tcW w:type="dxa" w:w="2340"/>
          </w:tcPr>
          <w:p>
            <w:r>
              <w:t>Patient safety, mandatory ratios</w:t>
            </w:r>
          </w:p>
        </w:tc>
        <w:tc>
          <w:tcPr>
            <w:tcW w:type="dxa" w:w="2340"/>
          </w:tcPr>
          <w:p>
            <w:r>
              <w:t>Nurse staffing ratio laws</w:t>
            </w:r>
          </w:p>
        </w:tc>
      </w:tr>
      <w:tr>
        <w:tc>
          <w:tcPr>
            <w:tcW w:type="dxa" w:w="2340"/>
          </w:tcPr>
          <w:p>
            <w:r>
              <w:t>Childcare/Daycare</w:t>
            </w:r>
          </w:p>
        </w:tc>
        <w:tc>
          <w:tcPr>
            <w:tcW w:type="dxa" w:w="2340"/>
          </w:tcPr>
          <w:p>
            <w:r>
              <w:t>300</w:t>
            </w:r>
          </w:p>
        </w:tc>
        <w:tc>
          <w:tcPr>
            <w:tcW w:type="dxa" w:w="2340"/>
          </w:tcPr>
          <w:p>
            <w:r>
              <w:t>Licensing violations, child safety</w:t>
            </w:r>
          </w:p>
        </w:tc>
        <w:tc>
          <w:tcPr>
            <w:tcW w:type="dxa" w:w="2340"/>
          </w:tcPr>
          <w:p>
            <w:r>
              <w:t>Staff-child ratio regulations</w:t>
            </w:r>
          </w:p>
        </w:tc>
      </w:tr>
      <w:tr>
        <w:tc>
          <w:tcPr>
            <w:tcW w:type="dxa" w:w="2340"/>
          </w:tcPr>
          <w:p>
            <w:r>
              <w:t>Transportation</w:t>
            </w:r>
          </w:p>
        </w:tc>
        <w:tc>
          <w:tcPr>
            <w:tcW w:type="dxa" w:w="2340"/>
          </w:tcPr>
          <w:p>
            <w:r>
              <w:t>250</w:t>
            </w:r>
          </w:p>
        </w:tc>
        <w:tc>
          <w:tcPr>
            <w:tcW w:type="dxa" w:w="2340"/>
          </w:tcPr>
          <w:p>
            <w:r>
              <w:t>DOT violations, safety risk</w:t>
            </w:r>
          </w:p>
        </w:tc>
        <w:tc>
          <w:tcPr>
            <w:tcW w:type="dxa" w:w="2340"/>
          </w:tcPr>
          <w:p>
            <w:r>
              <w:t>Hours-of-service regulations</w:t>
            </w:r>
          </w:p>
        </w:tc>
      </w:tr>
    </w:tbl>
    <w:p/>
    <w:p>
      <w:pPr>
        <w:pStyle w:val="Heading2"/>
      </w:pPr>
      <w:r>
        <w:t>3.4 Price Curves at Different Time Horizons</w:t>
      </w:r>
    </w:p>
    <w:p>
      <w:r>
        <w:t>The pricing formula creates distinct behavioral incentives at different time horizons. The following illustrates price multipliers for a warehouse (C=50) with a single-worker deficit:</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Time to Shift</w:t>
            </w:r>
          </w:p>
        </w:tc>
        <w:tc>
          <w:tcPr>
            <w:tcW w:type="dxa" w:w="3120"/>
          </w:tcPr>
          <w:p>
            <w:r>
              <w:t>Price Multiplier</w:t>
            </w:r>
          </w:p>
        </w:tc>
        <w:tc>
          <w:tcPr>
            <w:tcW w:type="dxa" w:w="3120"/>
          </w:tcPr>
          <w:p>
            <w:r>
              <w:t>Behavioral Effect</w:t>
            </w:r>
          </w:p>
        </w:tc>
      </w:tr>
      <w:tr>
        <w:tc>
          <w:tcPr>
            <w:tcW w:type="dxa" w:w="3120"/>
          </w:tcPr>
          <w:p>
            <w:r>
              <w:t>24 hours</w:t>
            </w:r>
          </w:p>
        </w:tc>
        <w:tc>
          <w:tcPr>
            <w:tcW w:type="dxa" w:w="3120"/>
          </w:tcPr>
          <w:p>
            <w:r>
              <w:t>1.03x</w:t>
            </w:r>
          </w:p>
        </w:tc>
        <w:tc>
          <w:tcPr>
            <w:tcW w:type="dxa" w:w="3120"/>
          </w:tcPr>
          <w:p>
            <w:r>
              <w:t>Minimal urgency - routine fill</w:t>
            </w:r>
          </w:p>
        </w:tc>
      </w:tr>
      <w:tr>
        <w:tc>
          <w:tcPr>
            <w:tcW w:type="dxa" w:w="3120"/>
          </w:tcPr>
          <w:p>
            <w:r>
              <w:t>8 hours</w:t>
            </w:r>
          </w:p>
        </w:tc>
        <w:tc>
          <w:tcPr>
            <w:tcW w:type="dxa" w:w="3120"/>
          </w:tcPr>
          <w:p>
            <w:r>
              <w:t>1.10x</w:t>
            </w:r>
          </w:p>
        </w:tc>
        <w:tc>
          <w:tcPr>
            <w:tcW w:type="dxa" w:w="3120"/>
          </w:tcPr>
          <w:p>
            <w:r>
              <w:t>Early incentive - attracts planners</w:t>
            </w:r>
          </w:p>
        </w:tc>
      </w:tr>
      <w:tr>
        <w:tc>
          <w:tcPr>
            <w:tcW w:type="dxa" w:w="3120"/>
          </w:tcPr>
          <w:p>
            <w:r>
              <w:t>4 hours</w:t>
            </w:r>
          </w:p>
        </w:tc>
        <w:tc>
          <w:tcPr>
            <w:tcW w:type="dxa" w:w="3120"/>
          </w:tcPr>
          <w:p>
            <w:r>
              <w:t>1.21x</w:t>
            </w:r>
          </w:p>
        </w:tc>
        <w:tc>
          <w:tcPr>
            <w:tcW w:type="dxa" w:w="3120"/>
          </w:tcPr>
          <w:p>
            <w:r>
              <w:t>Moderate urgency - Tier 2 activation</w:t>
            </w:r>
          </w:p>
        </w:tc>
      </w:tr>
      <w:tr>
        <w:tc>
          <w:tcPr>
            <w:tcW w:type="dxa" w:w="3120"/>
          </w:tcPr>
          <w:p>
            <w:r>
              <w:t>2 hours</w:t>
            </w:r>
          </w:p>
        </w:tc>
        <w:tc>
          <w:tcPr>
            <w:tcW w:type="dxa" w:w="3120"/>
          </w:tcPr>
          <w:p>
            <w:r>
              <w:t>1.42x</w:t>
            </w:r>
          </w:p>
        </w:tc>
        <w:tc>
          <w:tcPr>
            <w:tcW w:type="dxa" w:w="3120"/>
          </w:tcPr>
          <w:p>
            <w:r>
              <w:t>High urgency - surge pricing begins</w:t>
            </w:r>
          </w:p>
        </w:tc>
      </w:tr>
      <w:tr>
        <w:tc>
          <w:tcPr>
            <w:tcW w:type="dxa" w:w="3120"/>
          </w:tcPr>
          <w:p>
            <w:r>
              <w:t>1 hour</w:t>
            </w:r>
          </w:p>
        </w:tc>
        <w:tc>
          <w:tcPr>
            <w:tcW w:type="dxa" w:w="3120"/>
          </w:tcPr>
          <w:p>
            <w:r>
              <w:t>1.83x</w:t>
            </w:r>
          </w:p>
        </w:tc>
        <w:tc>
          <w:tcPr>
            <w:tcW w:type="dxa" w:w="3120"/>
          </w:tcPr>
          <w:p>
            <w:r>
              <w:t>Critical - Tier 3 spot market active</w:t>
            </w:r>
          </w:p>
        </w:tc>
      </w:tr>
      <w:tr>
        <w:tc>
          <w:tcPr>
            <w:tcW w:type="dxa" w:w="3120"/>
          </w:tcPr>
          <w:p>
            <w:r>
              <w:t>15 minutes</w:t>
            </w:r>
          </w:p>
        </w:tc>
        <w:tc>
          <w:tcPr>
            <w:tcW w:type="dxa" w:w="3120"/>
          </w:tcPr>
          <w:p>
            <w:r>
              <w:t>3.33x</w:t>
            </w:r>
          </w:p>
        </w:tc>
        <w:tc>
          <w:tcPr>
            <w:tcW w:type="dxa" w:w="3120"/>
          </w:tcPr>
          <w:p>
            <w:r>
              <w:t>Emergency - approaching hard cap</w:t>
            </w:r>
          </w:p>
        </w:tc>
      </w:tr>
    </w:tbl>
    <w:p/>
    <w:p>
      <w:pPr>
        <w:pStyle w:val="Heading2"/>
      </w:pPr>
      <w:r>
        <w:t>3.5 Hard Cap Mechanics</w:t>
      </w:r>
    </w:p>
    <w:p>
      <w:r>
        <w:t>To prevent runaway pricing, the system enforces a hard cap of 4.0x the base rate. This cap serves multiple purposes:</w:t>
      </w:r>
    </w:p>
    <w:p>
      <w:pPr>
        <w:pStyle w:val="ListBullet"/>
      </w:pPr>
      <w:r>
        <w:t>Budget predictability: Operators can model worst-case costs with certainty.</w:t>
      </w:r>
    </w:p>
    <w:p>
      <w:pPr>
        <w:pStyle w:val="ListBullet"/>
      </w:pPr>
      <w:r>
        <w:t>Regulatory compliance: Ensures premiums remain within defensible bounds for labor law purposes.</w:t>
      </w:r>
    </w:p>
    <w:p>
      <w:pPr>
        <w:pStyle w:val="ListBullet"/>
      </w:pPr>
      <w:r>
        <w:t>Market signal: When price hits cap, the system triggers mandatory overtime protocols as a backstop, ensuring shifts are always filled.</w:t>
      </w:r>
    </w:p>
    <w:p>
      <w:pPr>
        <w:pStyle w:val="ListBullet"/>
      </w:pPr>
      <w:r>
        <w:t>Fairness: Prevents exploitative pricing during genuine emergencies.</w:t>
      </w:r>
    </w:p>
    <w:p>
      <w:r>
        <w:br w:type="page"/>
      </w:r>
    </w:p>
    <w:p>
      <w:pPr>
        <w:pStyle w:val="Heading1"/>
      </w:pPr>
      <w:r>
        <w:t>4. Self-Clearing Mechanism</w:t>
      </w:r>
    </w:p>
    <w:p>
      <w:pPr>
        <w:pStyle w:val="Heading2"/>
      </w:pPr>
      <w:r>
        <w:t>4.1 Step-by-Step Flow When a Callout Occurs</w:t>
      </w:r>
    </w:p>
    <w:p>
      <w:r>
        <w:rPr>
          <w:b/>
        </w:rPr>
        <w:t>Step 1: Detection</w:t>
      </w:r>
      <w:r>
        <w:t xml:space="preserve"> - System receives callout notification (app, IVR, or manager input). Vacancy is immediately registered in the liquidity pool.</w:t>
      </w:r>
    </w:p>
    <w:p>
      <w:r>
        <w:rPr>
          <w:b/>
        </w:rPr>
        <w:t>Step 2: Pricing</w:t>
      </w:r>
      <w:r>
        <w:t xml:space="preserve"> - Engine calculates initial P(t) based on time remaining, staffing deficit, and industry criticality constant.</w:t>
      </w:r>
    </w:p>
    <w:p>
      <w:r>
        <w:rPr>
          <w:b/>
        </w:rPr>
        <w:t>Step 3: Tier 2 Activation</w:t>
      </w:r>
      <w:r>
        <w:t xml:space="preserve"> - All Tier 2 (Flex Buffer) employees in qualifying on-call windows receive instant notification with current price offer.</w:t>
      </w:r>
    </w:p>
    <w:p>
      <w:r>
        <w:rPr>
          <w:b/>
        </w:rPr>
        <w:t>Step 4: Acceptance Window</w:t>
      </w:r>
      <w:r>
        <w:t xml:space="preserve"> - Tier 2 employees have a configurable window (default: 15 minutes) to accept at the posted price.</w:t>
      </w:r>
    </w:p>
    <w:p>
      <w:r>
        <w:rPr>
          <w:b/>
        </w:rPr>
        <w:t>Step 5: Price Escalation</w:t>
      </w:r>
      <w:r>
        <w:t xml:space="preserve"> - If unfilled after Tier 2 window, price recalculates upward and offer extends to Tier 3 (Surge) spot market.</w:t>
      </w:r>
    </w:p>
    <w:p>
      <w:r>
        <w:rPr>
          <w:b/>
        </w:rPr>
        <w:t>Step 6: Tier 3 Spot Market</w:t>
      </w:r>
      <w:r>
        <w:t xml:space="preserve"> - All qualified Tier 3 employees see the vacancy at current (higher) pricing. First qualified acceptance wins.</w:t>
      </w:r>
    </w:p>
    <w:p>
      <w:r>
        <w:rPr>
          <w:b/>
        </w:rPr>
        <w:t>Step 7: Continued Escalation</w:t>
      </w:r>
      <w:r>
        <w:t xml:space="preserve"> - Price continues to rise toward hard cap as time decreases, creating increasing urgency signals.</w:t>
      </w:r>
    </w:p>
    <w:p>
      <w:r>
        <w:rPr>
          <w:b/>
        </w:rPr>
        <w:t>Step 8: Backstop</w:t>
      </w:r>
      <w:r>
        <w:t xml:space="preserve"> - If vacancy reaches cap without acceptance, system triggers mandatory overtime assignment per CBA/policy rules.</w:t>
      </w:r>
    </w:p>
    <w:p>
      <w:r>
        <w:rPr>
          <w:b/>
        </w:rPr>
        <w:t>Step 9: Confirmation</w:t>
      </w:r>
      <w:r>
        <w:t xml:space="preserve"> - Filled vacancy is confirmed, compliance checks run automatically, and all parties are notified.</w:t>
      </w:r>
    </w:p>
    <w:p>
      <w:r>
        <w:rPr>
          <w:b/>
        </w:rPr>
        <w:t>Step 10: Settlement</w:t>
      </w:r>
      <w:r>
        <w:t xml:space="preserve"> - Premium compensation is calculated, logged, and queued for payroll integration.</w:t>
      </w:r>
    </w:p>
    <w:p>
      <w:pPr>
        <w:pStyle w:val="Heading2"/>
      </w:pPr>
      <w:r>
        <w:t>4.2 Tier Cascade Logic</w:t>
      </w:r>
    </w:p>
    <w:p>
      <w:r>
        <w:t>The cascade is designed to fill vacancies at the lowest possible cost while respecting employee preferences:</w:t>
      </w:r>
    </w:p>
    <w:p>
      <w:r>
        <w:rPr>
          <w:rFonts w:ascii="Courier New" w:hAnsi="Courier New"/>
          <w:sz w:val="18"/>
        </w:rPr>
        <w:br/>
        <w:t xml:space="preserve">    CALLOUT DETECTED</w:t>
        <w:br/>
        <w:t xml:space="preserve">         |</w:t>
        <w:br/>
        <w:t xml:space="preserve">         v</w:t>
        <w:br/>
        <w:t xml:space="preserve">    [Tier 2: Flex Buffer]----ACCEPT----&gt; FILLED (1.5-2.5x)</w:t>
        <w:br/>
        <w:t xml:space="preserve">         |</w:t>
        <w:br/>
        <w:t xml:space="preserve">         | (timeout/decline)</w:t>
        <w:br/>
        <w:t xml:space="preserve">         v</w:t>
        <w:br/>
        <w:t xml:space="preserve">    [Tier 3: Spot Market]----ACCEPT----&gt; FILLED (2.0-4.0x)</w:t>
        <w:br/>
        <w:t xml:space="preserve">         |</w:t>
        <w:br/>
        <w:t xml:space="preserve">         | (timeout/no response)</w:t>
        <w:br/>
        <w:t xml:space="preserve">         v</w:t>
        <w:br/>
        <w:t xml:space="preserve">    [Price at Hard Cap]------ACCEPT----&gt; FILLED (4.0x max)</w:t>
        <w:br/>
        <w:t xml:space="preserve">         |</w:t>
        <w:br/>
        <w:t xml:space="preserve">         | (no acceptance)</w:t>
        <w:br/>
        <w:t xml:space="preserve">         v</w:t>
        <w:br/>
        <w:t xml:space="preserve">    [Mandatory OT Backstop]-----------&gt; FILLED (policy rate)</w:t>
        <w:br/>
      </w:r>
    </w:p>
    <w:p>
      <w:pPr>
        <w:pStyle w:val="Heading2"/>
      </w:pPr>
      <w:r>
        <w:t>4.3 Why the Market ALWAYS Clears</w:t>
      </w:r>
    </w:p>
    <w:p>
      <w:r>
        <w:t>The Labor Liquidity Pool guarantees market clearing through a fundamental economic principle: at a sufficiently high price, supply will meet demand. The system ensures this through three mechanisms:</w:t>
      </w:r>
    </w:p>
    <w:p>
      <w:pPr>
        <w:pStyle w:val="ListBullet"/>
      </w:pPr>
      <w:r>
        <w:rPr>
          <w:b/>
        </w:rPr>
        <w:t xml:space="preserve">Price guarantee: </w:t>
      </w:r>
      <w:r>
        <w:t>Workers know exactly what they will earn before accepting, eliminating negotiation friction.</w:t>
      </w:r>
    </w:p>
    <w:p>
      <w:pPr>
        <w:pStyle w:val="ListBullet"/>
      </w:pPr>
      <w:r>
        <w:rPr>
          <w:b/>
        </w:rPr>
        <w:t xml:space="preserve">Monotonic price increase: </w:t>
      </w:r>
      <w:r>
        <w:t>Prices only move upward as time decreases, creating a 'fear of missing out' dynamic that incentivizes early acceptance.</w:t>
      </w:r>
    </w:p>
    <w:p>
      <w:pPr>
        <w:pStyle w:val="ListBullet"/>
      </w:pPr>
      <w:r>
        <w:rPr>
          <w:b/>
        </w:rPr>
        <w:t xml:space="preserve">Mandatory backstop: </w:t>
      </w:r>
      <w:r>
        <w:t>The existence of a mandatory OT backstop ensures that even in the worst case, coverage is achieved. This backstop rarely activates because rational workers prefer voluntary premium acceptance over involuntary assignment.</w:t>
      </w:r>
    </w:p>
    <w:p>
      <w:r>
        <w:br w:type="page"/>
      </w:r>
    </w:p>
    <w:p>
      <w:pPr>
        <w:pStyle w:val="Heading1"/>
      </w:pPr>
      <w:r>
        <w:t>5. Reliability Rating System</w:t>
      </w:r>
    </w:p>
    <w:p>
      <w:pPr>
        <w:pStyle w:val="Heading2"/>
      </w:pPr>
      <w:r>
        <w:t>5.1 The Employee Credit Score (0-100)</w:t>
      </w:r>
    </w:p>
    <w:p>
      <w:r>
        <w:t>Each employee maintains a Reliability Rating, a composite score from 0 to 100 that reflects their historical dependability as a labor market participant. This score functions analogously to a financial credit score, providing a quantitative signal of trustworthiness that unlocks progressively better market opportunities.</w:t>
      </w:r>
    </w:p>
    <w:p>
      <w:pPr>
        <w:pStyle w:val="Heading2"/>
      </w:pPr>
      <w:r>
        <w:t>5.2 How It Is Earned and Lost</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Action</w:t>
            </w:r>
          </w:p>
        </w:tc>
        <w:tc>
          <w:tcPr>
            <w:tcW w:type="dxa" w:w="3120"/>
          </w:tcPr>
          <w:p>
            <w:r>
              <w:t>Score Impact</w:t>
            </w:r>
          </w:p>
        </w:tc>
        <w:tc>
          <w:tcPr>
            <w:tcW w:type="dxa" w:w="3120"/>
          </w:tcPr>
          <w:p>
            <w:r>
              <w:t>Category</w:t>
            </w:r>
          </w:p>
        </w:tc>
      </w:tr>
      <w:tr>
        <w:tc>
          <w:tcPr>
            <w:tcW w:type="dxa" w:w="3120"/>
          </w:tcPr>
          <w:p>
            <w:r>
              <w:t>Complete scheduled shift on time</w:t>
            </w:r>
          </w:p>
        </w:tc>
        <w:tc>
          <w:tcPr>
            <w:tcW w:type="dxa" w:w="3120"/>
          </w:tcPr>
          <w:p>
            <w:r>
              <w:t>+1</w:t>
            </w:r>
          </w:p>
        </w:tc>
        <w:tc>
          <w:tcPr>
            <w:tcW w:type="dxa" w:w="3120"/>
          </w:tcPr>
          <w:p>
            <w:r>
              <w:t>Positive</w:t>
            </w:r>
          </w:p>
        </w:tc>
      </w:tr>
      <w:tr>
        <w:tc>
          <w:tcPr>
            <w:tcW w:type="dxa" w:w="3120"/>
          </w:tcPr>
          <w:p>
            <w:r>
              <w:t>Accept and complete pool shift</w:t>
            </w:r>
          </w:p>
        </w:tc>
        <w:tc>
          <w:tcPr>
            <w:tcW w:type="dxa" w:w="3120"/>
          </w:tcPr>
          <w:p>
            <w:r>
              <w:t>+3</w:t>
            </w:r>
          </w:p>
        </w:tc>
        <w:tc>
          <w:tcPr>
            <w:tcW w:type="dxa" w:w="3120"/>
          </w:tcPr>
          <w:p>
            <w:r>
              <w:t>Positive</w:t>
            </w:r>
          </w:p>
        </w:tc>
      </w:tr>
      <w:tr>
        <w:tc>
          <w:tcPr>
            <w:tcW w:type="dxa" w:w="3120"/>
          </w:tcPr>
          <w:p>
            <w:r>
              <w:t>Accept shift with &lt; 2hr notice</w:t>
            </w:r>
          </w:p>
        </w:tc>
        <w:tc>
          <w:tcPr>
            <w:tcW w:type="dxa" w:w="3120"/>
          </w:tcPr>
          <w:p>
            <w:r>
              <w:t>+5</w:t>
            </w:r>
          </w:p>
        </w:tc>
        <w:tc>
          <w:tcPr>
            <w:tcW w:type="dxa" w:w="3120"/>
          </w:tcPr>
          <w:p>
            <w:r>
              <w:t>Positive</w:t>
            </w:r>
          </w:p>
        </w:tc>
      </w:tr>
      <w:tr>
        <w:tc>
          <w:tcPr>
            <w:tcW w:type="dxa" w:w="3120"/>
          </w:tcPr>
          <w:p>
            <w:r>
              <w:t>Maintain 30-day perfect attendance</w:t>
            </w:r>
          </w:p>
        </w:tc>
        <w:tc>
          <w:tcPr>
            <w:tcW w:type="dxa" w:w="3120"/>
          </w:tcPr>
          <w:p>
            <w:r>
              <w:t>+10 bonus</w:t>
            </w:r>
          </w:p>
        </w:tc>
        <w:tc>
          <w:tcPr>
            <w:tcW w:type="dxa" w:w="3120"/>
          </w:tcPr>
          <w:p>
            <w:r>
              <w:t>Positive</w:t>
            </w:r>
          </w:p>
        </w:tc>
      </w:tr>
      <w:tr>
        <w:tc>
          <w:tcPr>
            <w:tcW w:type="dxa" w:w="3120"/>
          </w:tcPr>
          <w:p>
            <w:r>
              <w:t>No-call/no-show</w:t>
            </w:r>
          </w:p>
        </w:tc>
        <w:tc>
          <w:tcPr>
            <w:tcW w:type="dxa" w:w="3120"/>
          </w:tcPr>
          <w:p>
            <w:r>
              <w:t>-25</w:t>
            </w:r>
          </w:p>
        </w:tc>
        <w:tc>
          <w:tcPr>
            <w:tcW w:type="dxa" w:w="3120"/>
          </w:tcPr>
          <w:p>
            <w:r>
              <w:t>Negative</w:t>
            </w:r>
          </w:p>
        </w:tc>
      </w:tr>
      <w:tr>
        <w:tc>
          <w:tcPr>
            <w:tcW w:type="dxa" w:w="3120"/>
          </w:tcPr>
          <w:p>
            <w:r>
              <w:t>Late cancellation (&lt; 2hrs)</w:t>
            </w:r>
          </w:p>
        </w:tc>
        <w:tc>
          <w:tcPr>
            <w:tcW w:type="dxa" w:w="3120"/>
          </w:tcPr>
          <w:p>
            <w:r>
              <w:t>-15</w:t>
            </w:r>
          </w:p>
        </w:tc>
        <w:tc>
          <w:tcPr>
            <w:tcW w:type="dxa" w:w="3120"/>
          </w:tcPr>
          <w:p>
            <w:r>
              <w:t>Negative</w:t>
            </w:r>
          </w:p>
        </w:tc>
      </w:tr>
      <w:tr>
        <w:tc>
          <w:tcPr>
            <w:tcW w:type="dxa" w:w="3120"/>
          </w:tcPr>
          <w:p>
            <w:r>
              <w:t>Late arrival (&gt; 15 min)</w:t>
            </w:r>
          </w:p>
        </w:tc>
        <w:tc>
          <w:tcPr>
            <w:tcW w:type="dxa" w:w="3120"/>
          </w:tcPr>
          <w:p>
            <w:r>
              <w:t>-5</w:t>
            </w:r>
          </w:p>
        </w:tc>
        <w:tc>
          <w:tcPr>
            <w:tcW w:type="dxa" w:w="3120"/>
          </w:tcPr>
          <w:p>
            <w:r>
              <w:t>Negative</w:t>
            </w:r>
          </w:p>
        </w:tc>
      </w:tr>
      <w:tr>
        <w:tc>
          <w:tcPr>
            <w:tcW w:type="dxa" w:w="3120"/>
          </w:tcPr>
          <w:p>
            <w:r>
              <w:t>Decline 5 consecutive offers (Tier 2)</w:t>
            </w:r>
          </w:p>
        </w:tc>
        <w:tc>
          <w:tcPr>
            <w:tcW w:type="dxa" w:w="3120"/>
          </w:tcPr>
          <w:p>
            <w:r>
              <w:t>-3</w:t>
            </w:r>
          </w:p>
        </w:tc>
        <w:tc>
          <w:tcPr>
            <w:tcW w:type="dxa" w:w="3120"/>
          </w:tcPr>
          <w:p>
            <w:r>
              <w:t>Negative</w:t>
            </w:r>
          </w:p>
        </w:tc>
      </w:tr>
    </w:tbl>
    <w:p/>
    <w:p>
      <w:pPr>
        <w:pStyle w:val="Heading2"/>
      </w:pPr>
      <w:r>
        <w:t>5.3 How It Gates Access to High-Value Shifts</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Score Range</w:t>
            </w:r>
          </w:p>
        </w:tc>
        <w:tc>
          <w:tcPr>
            <w:tcW w:type="dxa" w:w="3120"/>
          </w:tcPr>
          <w:p>
            <w:r>
              <w:t>Access Level</w:t>
            </w:r>
          </w:p>
        </w:tc>
        <w:tc>
          <w:tcPr>
            <w:tcW w:type="dxa" w:w="3120"/>
          </w:tcPr>
          <w:p>
            <w:r>
              <w:t>Benefits</w:t>
            </w:r>
          </w:p>
        </w:tc>
      </w:tr>
      <w:tr>
        <w:tc>
          <w:tcPr>
            <w:tcW w:type="dxa" w:w="3120"/>
          </w:tcPr>
          <w:p>
            <w:r>
              <w:t>90-100</w:t>
            </w:r>
          </w:p>
        </w:tc>
        <w:tc>
          <w:tcPr>
            <w:tcW w:type="dxa" w:w="3120"/>
          </w:tcPr>
          <w:p>
            <w:r>
              <w:t>Premium</w:t>
            </w:r>
          </w:p>
        </w:tc>
        <w:tc>
          <w:tcPr>
            <w:tcW w:type="dxa" w:w="3120"/>
          </w:tcPr>
          <w:p>
            <w:r>
              <w:t>First access to all shifts, highest tier eligibility</w:t>
            </w:r>
          </w:p>
        </w:tc>
      </w:tr>
      <w:tr>
        <w:tc>
          <w:tcPr>
            <w:tcW w:type="dxa" w:w="3120"/>
          </w:tcPr>
          <w:p>
            <w:r>
              <w:t>70-89</w:t>
            </w:r>
          </w:p>
        </w:tc>
        <w:tc>
          <w:tcPr>
            <w:tcW w:type="dxa" w:w="3120"/>
          </w:tcPr>
          <w:p>
            <w:r>
              <w:t>Standard</w:t>
            </w:r>
          </w:p>
        </w:tc>
        <w:tc>
          <w:tcPr>
            <w:tcW w:type="dxa" w:w="3120"/>
          </w:tcPr>
          <w:p>
            <w:r>
              <w:t>Normal pool access, all tiers available</w:t>
            </w:r>
          </w:p>
        </w:tc>
      </w:tr>
      <w:tr>
        <w:tc>
          <w:tcPr>
            <w:tcW w:type="dxa" w:w="3120"/>
          </w:tcPr>
          <w:p>
            <w:r>
              <w:t>50-69</w:t>
            </w:r>
          </w:p>
        </w:tc>
        <w:tc>
          <w:tcPr>
            <w:tcW w:type="dxa" w:w="3120"/>
          </w:tcPr>
          <w:p>
            <w:r>
              <w:t>Restricted</w:t>
            </w:r>
          </w:p>
        </w:tc>
        <w:tc>
          <w:tcPr>
            <w:tcW w:type="dxa" w:w="3120"/>
          </w:tcPr>
          <w:p>
            <w:r>
              <w:t>Tier 3 only, delayed notifications</w:t>
            </w:r>
          </w:p>
        </w:tc>
      </w:tr>
      <w:tr>
        <w:tc>
          <w:tcPr>
            <w:tcW w:type="dxa" w:w="3120"/>
          </w:tcPr>
          <w:p>
            <w:r>
              <w:t>Below 50</w:t>
            </w:r>
          </w:p>
        </w:tc>
        <w:tc>
          <w:tcPr>
            <w:tcW w:type="dxa" w:w="3120"/>
          </w:tcPr>
          <w:p>
            <w:r>
              <w:t>Probation</w:t>
            </w:r>
          </w:p>
        </w:tc>
        <w:tc>
          <w:tcPr>
            <w:tcW w:type="dxa" w:w="3120"/>
          </w:tcPr>
          <w:p>
            <w:r>
              <w:t>No pool access, standard schedule only</w:t>
            </w:r>
          </w:p>
        </w:tc>
      </w:tr>
    </w:tbl>
    <w:p/>
    <w:p>
      <w:pPr>
        <w:pStyle w:val="Heading2"/>
      </w:pPr>
      <w:r>
        <w:t>5.4 Behavioral Incentive Design</w:t>
      </w:r>
    </w:p>
    <w:p>
      <w:r>
        <w:t>The rating system creates a self-reinforcing positive cycle: reliable workers earn higher scores, which grants access to higher-paying premium shifts, which increases earnings, which increases job satisfaction, which reinforces reliable behavior. Conversely, unreliable behavior reduces score, reduces access to premium opportunities, reduces earnings potential, and creates natural consequences without punitive management action.</w:t>
      </w:r>
    </w:p>
    <w:p>
      <w:pPr>
        <w:pStyle w:val="Heading2"/>
      </w:pPr>
      <w:r>
        <w:t>5.5 Comparison to Credit Scores in Finance</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Dimension</w:t>
            </w:r>
          </w:p>
        </w:tc>
        <w:tc>
          <w:tcPr>
            <w:tcW w:type="dxa" w:w="3120"/>
          </w:tcPr>
          <w:p>
            <w:r>
              <w:t>FICO Score</w:t>
            </w:r>
          </w:p>
        </w:tc>
        <w:tc>
          <w:tcPr>
            <w:tcW w:type="dxa" w:w="3120"/>
          </w:tcPr>
          <w:p>
            <w:r>
              <w:t>Reliability Rating</w:t>
            </w:r>
          </w:p>
        </w:tc>
      </w:tr>
      <w:tr>
        <w:tc>
          <w:tcPr>
            <w:tcW w:type="dxa" w:w="3120"/>
          </w:tcPr>
          <w:p>
            <w:r>
              <w:t>Range</w:t>
            </w:r>
          </w:p>
        </w:tc>
        <w:tc>
          <w:tcPr>
            <w:tcW w:type="dxa" w:w="3120"/>
          </w:tcPr>
          <w:p>
            <w:r>
              <w:t>300-850</w:t>
            </w:r>
          </w:p>
        </w:tc>
        <w:tc>
          <w:tcPr>
            <w:tcW w:type="dxa" w:w="3120"/>
          </w:tcPr>
          <w:p>
            <w:r>
              <w:t>0-100</w:t>
            </w:r>
          </w:p>
        </w:tc>
      </w:tr>
      <w:tr>
        <w:tc>
          <w:tcPr>
            <w:tcW w:type="dxa" w:w="3120"/>
          </w:tcPr>
          <w:p>
            <w:r>
              <w:t>Purpose</w:t>
            </w:r>
          </w:p>
        </w:tc>
        <w:tc>
          <w:tcPr>
            <w:tcW w:type="dxa" w:w="3120"/>
          </w:tcPr>
          <w:p>
            <w:r>
              <w:t>Predict default risk</w:t>
            </w:r>
          </w:p>
        </w:tc>
        <w:tc>
          <w:tcPr>
            <w:tcW w:type="dxa" w:w="3120"/>
          </w:tcPr>
          <w:p>
            <w:r>
              <w:t>Predict attendance reliability</w:t>
            </w:r>
          </w:p>
        </w:tc>
      </w:tr>
      <w:tr>
        <w:tc>
          <w:tcPr>
            <w:tcW w:type="dxa" w:w="3120"/>
          </w:tcPr>
          <w:p>
            <w:r>
              <w:t>Improves by</w:t>
            </w:r>
          </w:p>
        </w:tc>
        <w:tc>
          <w:tcPr>
            <w:tcW w:type="dxa" w:w="3120"/>
          </w:tcPr>
          <w:p>
            <w:r>
              <w:t>On-time payments</w:t>
            </w:r>
          </w:p>
        </w:tc>
        <w:tc>
          <w:tcPr>
            <w:tcW w:type="dxa" w:w="3120"/>
          </w:tcPr>
          <w:p>
            <w:r>
              <w:t>On-time shift completion</w:t>
            </w:r>
          </w:p>
        </w:tc>
      </w:tr>
      <w:tr>
        <w:tc>
          <w:tcPr>
            <w:tcW w:type="dxa" w:w="3120"/>
          </w:tcPr>
          <w:p>
            <w:r>
              <w:t>Damaged by</w:t>
            </w:r>
          </w:p>
        </w:tc>
        <w:tc>
          <w:tcPr>
            <w:tcW w:type="dxa" w:w="3120"/>
          </w:tcPr>
          <w:p>
            <w:r>
              <w:t>Missed payments</w:t>
            </w:r>
          </w:p>
        </w:tc>
        <w:tc>
          <w:tcPr>
            <w:tcW w:type="dxa" w:w="3120"/>
          </w:tcPr>
          <w:p>
            <w:r>
              <w:t>No-shows and late cancellations</w:t>
            </w:r>
          </w:p>
        </w:tc>
      </w:tr>
      <w:tr>
        <w:tc>
          <w:tcPr>
            <w:tcW w:type="dxa" w:w="3120"/>
          </w:tcPr>
          <w:p>
            <w:r>
              <w:t>Unlocks</w:t>
            </w:r>
          </w:p>
        </w:tc>
        <w:tc>
          <w:tcPr>
            <w:tcW w:type="dxa" w:w="3120"/>
          </w:tcPr>
          <w:p>
            <w:r>
              <w:t>Better loan terms</w:t>
            </w:r>
          </w:p>
        </w:tc>
        <w:tc>
          <w:tcPr>
            <w:tcW w:type="dxa" w:w="3120"/>
          </w:tcPr>
          <w:p>
            <w:r>
              <w:t>Higher-paying premium shifts</w:t>
            </w:r>
          </w:p>
        </w:tc>
      </w:tr>
    </w:tbl>
    <w:p>
      <w:r>
        <w:br w:type="page"/>
      </w:r>
    </w:p>
    <w:p>
      <w:pPr>
        <w:pStyle w:val="Heading1"/>
      </w:pPr>
      <w:r>
        <w:t>6. Regulatory Compliance by Design</w:t>
      </w:r>
    </w:p>
    <w:p>
      <w:pPr>
        <w:pStyle w:val="Heading2"/>
      </w:pPr>
      <w:r>
        <w:t>6.1 Tier 2 Holding Yield: Bypassing Unpaid On-Call Prohibitions</w:t>
      </w:r>
    </w:p>
    <w:p>
      <w:r>
        <w:t>Many jurisdictions prohibit requiring employees to remain available without compensation. The Labor Liquidity Pool solves this elegantly: Tier 2 employees receive holding yield ($2-5/hour) for their on-call windows regardless of activation. This transforms the arrangement from prohibited 'unpaid on-call' to compliant 'compensated standby,' satisfying the requirements of states including California, New York, Oregon, and Washington.</w:t>
      </w:r>
    </w:p>
    <w:p>
      <w:pPr>
        <w:pStyle w:val="Heading2"/>
      </w:pPr>
      <w:r>
        <w:t>6.2 Audit Trail for Every Transaction</w:t>
      </w:r>
    </w:p>
    <w:p>
      <w:r>
        <w:t>Every market event generates an immutable audit record containing:</w:t>
      </w:r>
    </w:p>
    <w:p>
      <w:pPr>
        <w:pStyle w:val="ListBullet"/>
      </w:pPr>
      <w:r>
        <w:t>Timestamp of callout, notification, acceptance, and confirmation</w:t>
      </w:r>
    </w:p>
    <w:p>
      <w:pPr>
        <w:pStyle w:val="ListBullet"/>
      </w:pPr>
      <w:r>
        <w:t>Price offered and accepted at each stage</w:t>
      </w:r>
    </w:p>
    <w:p>
      <w:pPr>
        <w:pStyle w:val="ListBullet"/>
      </w:pPr>
      <w:r>
        <w:t>Employee eligibility verification (hours worked, rest periods, certifications)</w:t>
      </w:r>
    </w:p>
    <w:p>
      <w:pPr>
        <w:pStyle w:val="ListBullet"/>
      </w:pPr>
      <w:r>
        <w:t>Compliance rule evaluation results with pass/fail for each applicable regulation</w:t>
      </w:r>
    </w:p>
    <w:p>
      <w:pPr>
        <w:pStyle w:val="ListBullet"/>
      </w:pPr>
      <w:r>
        <w:t>Manager override justification (if any backstop activation occurs)</w:t>
      </w:r>
    </w:p>
    <w:p>
      <w:pPr>
        <w:pStyle w:val="Heading2"/>
      </w:pPr>
      <w:r>
        <w:t>6.3 Integration with Predictive Scheduling Laws</w:t>
      </w:r>
    </w:p>
    <w:p>
      <w:r>
        <w:t>Predictive scheduling laws in cities including San Francisco, Seattle, New York, Chicago, and Philadelphia require advance notice of schedules and premium pay for last-minute changes. The system integrates these requirements directly:</w:t>
      </w:r>
    </w:p>
    <w:p>
      <w:pPr>
        <w:pStyle w:val="ListBullet"/>
      </w:pPr>
      <w:r>
        <w:t>Automatically calculates and applies schedule change premiums per jurisdiction</w:t>
      </w:r>
    </w:p>
    <w:p>
      <w:pPr>
        <w:pStyle w:val="ListBullet"/>
      </w:pPr>
      <w:r>
        <w:t>Ensures minimum rest periods between shifts are maintained</w:t>
      </w:r>
    </w:p>
    <w:p>
      <w:pPr>
        <w:pStyle w:val="ListBullet"/>
      </w:pPr>
      <w:r>
        <w:t>Tracks cumulative weekly hours against overtime thresholds</w:t>
      </w:r>
    </w:p>
    <w:p>
      <w:pPr>
        <w:pStyle w:val="ListBullet"/>
      </w:pPr>
      <w:r>
        <w:t>Generates required good-faith estimate documentation</w:t>
      </w:r>
    </w:p>
    <w:p>
      <w:pPr>
        <w:pStyle w:val="ListBullet"/>
      </w:pPr>
      <w:r>
        <w:t>Blocks assignments that would violate right-to-rest provisions</w:t>
      </w:r>
    </w:p>
    <w:p>
      <w:pPr>
        <w:pStyle w:val="Heading2"/>
      </w:pPr>
      <w:r>
        <w:t>6.4 Union CBA Compatibility</w:t>
      </w:r>
    </w:p>
    <w:p>
      <w:r>
        <w:t>For unionized workforces, the system respects collective bargaining agreement provisions including:</w:t>
      </w:r>
    </w:p>
    <w:p>
      <w:pPr>
        <w:pStyle w:val="ListBullet"/>
      </w:pPr>
      <w:r>
        <w:t>Seniority-based offer ordering within each tier</w:t>
      </w:r>
    </w:p>
    <w:p>
      <w:pPr>
        <w:pStyle w:val="ListBullet"/>
      </w:pPr>
      <w:r>
        <w:t>Equitable distribution of overtime opportunities</w:t>
      </w:r>
    </w:p>
    <w:p>
      <w:pPr>
        <w:pStyle w:val="ListBullet"/>
      </w:pPr>
      <w:r>
        <w:t>CBA-defined premium rates as floor (market can exceed but never undercut)</w:t>
      </w:r>
    </w:p>
    <w:p>
      <w:pPr>
        <w:pStyle w:val="ListBullet"/>
      </w:pPr>
      <w:r>
        <w:t>Grievance documentation with complete decision trail</w:t>
      </w:r>
    </w:p>
    <w:p>
      <w:pPr>
        <w:pStyle w:val="ListBullet"/>
      </w:pPr>
      <w:r>
        <w:t>Steward notification protocols for backstop activations</w:t>
      </w:r>
    </w:p>
    <w:p>
      <w:pPr>
        <w:pStyle w:val="Heading2"/>
      </w:pPr>
      <w:r>
        <w:t>6.5 Compliance as Architecture vs. Compliance as Afterthought</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Dimension</w:t>
            </w:r>
          </w:p>
        </w:tc>
        <w:tc>
          <w:tcPr>
            <w:tcW w:type="dxa" w:w="3120"/>
          </w:tcPr>
          <w:p>
            <w:r>
              <w:t>Traditional WFM</w:t>
            </w:r>
          </w:p>
        </w:tc>
        <w:tc>
          <w:tcPr>
            <w:tcW w:type="dxa" w:w="3120"/>
          </w:tcPr>
          <w:p>
            <w:r>
              <w:t>Labor Liquidity Pool</w:t>
            </w:r>
          </w:p>
        </w:tc>
      </w:tr>
      <w:tr>
        <w:tc>
          <w:tcPr>
            <w:tcW w:type="dxa" w:w="3120"/>
          </w:tcPr>
          <w:p>
            <w:r>
              <w:t>Compliance timing</w:t>
            </w:r>
          </w:p>
        </w:tc>
        <w:tc>
          <w:tcPr>
            <w:tcW w:type="dxa" w:w="3120"/>
          </w:tcPr>
          <w:p>
            <w:r>
              <w:t>Post-hoc validation</w:t>
            </w:r>
          </w:p>
        </w:tc>
        <w:tc>
          <w:tcPr>
            <w:tcW w:type="dxa" w:w="3120"/>
          </w:tcPr>
          <w:p>
            <w:r>
              <w:t>Pre-transaction enforcement</w:t>
            </w:r>
          </w:p>
        </w:tc>
      </w:tr>
      <w:tr>
        <w:tc>
          <w:tcPr>
            <w:tcW w:type="dxa" w:w="3120"/>
          </w:tcPr>
          <w:p>
            <w:r>
              <w:t>Audit capability</w:t>
            </w:r>
          </w:p>
        </w:tc>
        <w:tc>
          <w:tcPr>
            <w:tcW w:type="dxa" w:w="3120"/>
          </w:tcPr>
          <w:p>
            <w:r>
              <w:t>Manual report generation</w:t>
            </w:r>
          </w:p>
        </w:tc>
        <w:tc>
          <w:tcPr>
            <w:tcW w:type="dxa" w:w="3120"/>
          </w:tcPr>
          <w:p>
            <w:r>
              <w:t>Automatic immutable logging</w:t>
            </w:r>
          </w:p>
        </w:tc>
      </w:tr>
      <w:tr>
        <w:tc>
          <w:tcPr>
            <w:tcW w:type="dxa" w:w="3120"/>
          </w:tcPr>
          <w:p>
            <w:r>
              <w:t>Rule updates</w:t>
            </w:r>
          </w:p>
        </w:tc>
        <w:tc>
          <w:tcPr>
            <w:tcW w:type="dxa" w:w="3120"/>
          </w:tcPr>
          <w:p>
            <w:r>
              <w:t>Software update required</w:t>
            </w:r>
          </w:p>
        </w:tc>
        <w:tc>
          <w:tcPr>
            <w:tcW w:type="dxa" w:w="3120"/>
          </w:tcPr>
          <w:p>
            <w:r>
              <w:t>Configuration change (real-time)</w:t>
            </w:r>
          </w:p>
        </w:tc>
      </w:tr>
      <w:tr>
        <w:tc>
          <w:tcPr>
            <w:tcW w:type="dxa" w:w="3120"/>
          </w:tcPr>
          <w:p>
            <w:r>
              <w:t>Violation risk</w:t>
            </w:r>
          </w:p>
        </w:tc>
        <w:tc>
          <w:tcPr>
            <w:tcW w:type="dxa" w:w="3120"/>
          </w:tcPr>
          <w:p>
            <w:r>
              <w:t>Human error dependent</w:t>
            </w:r>
          </w:p>
        </w:tc>
        <w:tc>
          <w:tcPr>
            <w:tcW w:type="dxa" w:w="3120"/>
          </w:tcPr>
          <w:p>
            <w:r>
              <w:t>Architecturally impossible</w:t>
            </w:r>
          </w:p>
        </w:tc>
      </w:tr>
      <w:tr>
        <w:tc>
          <w:tcPr>
            <w:tcW w:type="dxa" w:w="3120"/>
          </w:tcPr>
          <w:p>
            <w:r>
              <w:t>Legal defensibility</w:t>
            </w:r>
          </w:p>
        </w:tc>
        <w:tc>
          <w:tcPr>
            <w:tcW w:type="dxa" w:w="3120"/>
          </w:tcPr>
          <w:p>
            <w:r>
              <w:t>Reactive documentation</w:t>
            </w:r>
          </w:p>
        </w:tc>
        <w:tc>
          <w:tcPr>
            <w:tcW w:type="dxa" w:w="3120"/>
          </w:tcPr>
          <w:p>
            <w:r>
              <w:t>Proactive proof of compliance</w:t>
            </w:r>
          </w:p>
        </w:tc>
      </w:tr>
    </w:tbl>
    <w:p>
      <w:r>
        <w:br w:type="page"/>
      </w:r>
    </w:p>
    <w:p>
      <w:pPr>
        <w:pStyle w:val="Heading1"/>
      </w:pPr>
      <w:r>
        <w:t>7. Economic Analysis</w:t>
      </w:r>
    </w:p>
    <w:p>
      <w:pPr>
        <w:pStyle w:val="Heading2"/>
      </w:pPr>
      <w:r>
        <w:t>7.1 Cost Model: Traditional vs. Liquidity Pool</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Cost Category</w:t>
            </w:r>
          </w:p>
        </w:tc>
        <w:tc>
          <w:tcPr>
            <w:tcW w:type="dxa" w:w="3120"/>
          </w:tcPr>
          <w:p>
            <w:r>
              <w:t>Traditional Approach</w:t>
            </w:r>
          </w:p>
        </w:tc>
        <w:tc>
          <w:tcPr>
            <w:tcW w:type="dxa" w:w="3120"/>
          </w:tcPr>
          <w:p>
            <w:r>
              <w:t>Liquidity Pool</w:t>
            </w:r>
          </w:p>
        </w:tc>
      </w:tr>
      <w:tr>
        <w:tc>
          <w:tcPr>
            <w:tcW w:type="dxa" w:w="3120"/>
          </w:tcPr>
          <w:p>
            <w:r>
              <w:t>Manager time (per callout)</w:t>
            </w:r>
          </w:p>
        </w:tc>
        <w:tc>
          <w:tcPr>
            <w:tcW w:type="dxa" w:w="3120"/>
          </w:tcPr>
          <w:p>
            <w:r>
              <w:t>$45 (30 min @ $90K salary)</w:t>
            </w:r>
          </w:p>
        </w:tc>
        <w:tc>
          <w:tcPr>
            <w:tcW w:type="dxa" w:w="3120"/>
          </w:tcPr>
          <w:p>
            <w:r>
              <w:t>$0 (automated)</w:t>
            </w:r>
          </w:p>
        </w:tc>
      </w:tr>
      <w:tr>
        <w:tc>
          <w:tcPr>
            <w:tcW w:type="dxa" w:w="3120"/>
          </w:tcPr>
          <w:p>
            <w:r>
              <w:t>Overtime premium</w:t>
            </w:r>
          </w:p>
        </w:tc>
        <w:tc>
          <w:tcPr>
            <w:tcW w:type="dxa" w:w="3120"/>
          </w:tcPr>
          <w:p>
            <w:r>
              <w:t>1.5x base for all hours</w:t>
            </w:r>
          </w:p>
        </w:tc>
        <w:tc>
          <w:tcPr>
            <w:tcW w:type="dxa" w:w="3120"/>
          </w:tcPr>
          <w:p>
            <w:r>
              <w:t>1.5-2.5x for fill only</w:t>
            </w:r>
          </w:p>
        </w:tc>
      </w:tr>
      <w:tr>
        <w:tc>
          <w:tcPr>
            <w:tcW w:type="dxa" w:w="3120"/>
          </w:tcPr>
          <w:p>
            <w:r>
              <w:t>Agency/temp staffing</w:t>
            </w:r>
          </w:p>
        </w:tc>
        <w:tc>
          <w:tcPr>
            <w:tcW w:type="dxa" w:w="3120"/>
          </w:tcPr>
          <w:p>
            <w:r>
              <w:t>$35-65/hr (2-3x base)</w:t>
            </w:r>
          </w:p>
        </w:tc>
        <w:tc>
          <w:tcPr>
            <w:tcW w:type="dxa" w:w="3120"/>
          </w:tcPr>
          <w:p>
            <w:r>
              <w:t>Eliminated</w:t>
            </w:r>
          </w:p>
        </w:tc>
      </w:tr>
      <w:tr>
        <w:tc>
          <w:tcPr>
            <w:tcW w:type="dxa" w:w="3120"/>
          </w:tcPr>
          <w:p>
            <w:r>
              <w:t>Understaffing penalties</w:t>
            </w:r>
          </w:p>
        </w:tc>
        <w:tc>
          <w:tcPr>
            <w:tcW w:type="dxa" w:w="3120"/>
          </w:tcPr>
          <w:p>
            <w:r>
              <w:t>$500-5000 per incident</w:t>
            </w:r>
          </w:p>
        </w:tc>
        <w:tc>
          <w:tcPr>
            <w:tcW w:type="dxa" w:w="3120"/>
          </w:tcPr>
          <w:p>
            <w:r>
              <w:t>Near zero (97% fill)</w:t>
            </w:r>
          </w:p>
        </w:tc>
      </w:tr>
      <w:tr>
        <w:tc>
          <w:tcPr>
            <w:tcW w:type="dxa" w:w="3120"/>
          </w:tcPr>
          <w:p>
            <w:r>
              <w:t>Compliance violations</w:t>
            </w:r>
          </w:p>
        </w:tc>
        <w:tc>
          <w:tcPr>
            <w:tcW w:type="dxa" w:w="3120"/>
          </w:tcPr>
          <w:p>
            <w:r>
              <w:t>$1000-50000 per violation</w:t>
            </w:r>
          </w:p>
        </w:tc>
        <w:tc>
          <w:tcPr>
            <w:tcW w:type="dxa" w:w="3120"/>
          </w:tcPr>
          <w:p>
            <w:r>
              <w:t>$0 (built-in enforcement)</w:t>
            </w:r>
          </w:p>
        </w:tc>
      </w:tr>
      <w:tr>
        <w:tc>
          <w:tcPr>
            <w:tcW w:type="dxa" w:w="3120"/>
          </w:tcPr>
          <w:p>
            <w:r>
              <w:t>Holding yield cost</w:t>
            </w:r>
          </w:p>
        </w:tc>
        <w:tc>
          <w:tcPr>
            <w:tcW w:type="dxa" w:w="3120"/>
          </w:tcPr>
          <w:p>
            <w:r>
              <w:t>N/A</w:t>
            </w:r>
          </w:p>
        </w:tc>
        <w:tc>
          <w:tcPr>
            <w:tcW w:type="dxa" w:w="3120"/>
          </w:tcPr>
          <w:p>
            <w:r>
              <w:t>$2-5/hr per Tier 2 window</w:t>
            </w:r>
          </w:p>
        </w:tc>
      </w:tr>
    </w:tbl>
    <w:p/>
    <w:p>
      <w:pPr>
        <w:pStyle w:val="Heading2"/>
      </w:pPr>
      <w:r>
        <w:t>7.2 Monthly Savings Calculation (40-Employee Site)</w:t>
      </w:r>
    </w:p>
    <w:p>
      <w:r>
        <w:t>Assumptions: 40 employees, 1.5 callouts/day average, base wage $18/hr, 8-hour shifts.</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t>Line Item</w:t>
            </w:r>
          </w:p>
        </w:tc>
        <w:tc>
          <w:tcPr>
            <w:tcW w:type="dxa" w:w="3120"/>
          </w:tcPr>
          <w:p>
            <w:r>
              <w:t>Traditional Cost</w:t>
            </w:r>
          </w:p>
        </w:tc>
        <w:tc>
          <w:tcPr>
            <w:tcW w:type="dxa" w:w="3120"/>
          </w:tcPr>
          <w:p>
            <w:r>
              <w:t>Pool Cost</w:t>
            </w:r>
          </w:p>
        </w:tc>
      </w:tr>
      <w:tr>
        <w:tc>
          <w:tcPr>
            <w:tcW w:type="dxa" w:w="3120"/>
          </w:tcPr>
          <w:p>
            <w:r>
              <w:t>Manager intervention (45 callouts)</w:t>
            </w:r>
          </w:p>
        </w:tc>
        <w:tc>
          <w:tcPr>
            <w:tcW w:type="dxa" w:w="3120"/>
          </w:tcPr>
          <w:p>
            <w:r>
              <w:t>$2,025</w:t>
            </w:r>
          </w:p>
        </w:tc>
        <w:tc>
          <w:tcPr>
            <w:tcW w:type="dxa" w:w="3120"/>
          </w:tcPr>
          <w:p>
            <w:r>
              <w:t>$0</w:t>
            </w:r>
          </w:p>
        </w:tc>
      </w:tr>
      <w:tr>
        <w:tc>
          <w:tcPr>
            <w:tcW w:type="dxa" w:w="3120"/>
          </w:tcPr>
          <w:p>
            <w:r>
              <w:t>Overtime fills (60% of callouts)</w:t>
            </w:r>
          </w:p>
        </w:tc>
        <w:tc>
          <w:tcPr>
            <w:tcW w:type="dxa" w:w="3120"/>
          </w:tcPr>
          <w:p>
            <w:r>
              <w:t>$5,832</w:t>
            </w:r>
          </w:p>
        </w:tc>
        <w:tc>
          <w:tcPr>
            <w:tcW w:type="dxa" w:w="3120"/>
          </w:tcPr>
          <w:p>
            <w:r>
              <w:t>$2,916</w:t>
            </w:r>
          </w:p>
        </w:tc>
      </w:tr>
      <w:tr>
        <w:tc>
          <w:tcPr>
            <w:tcW w:type="dxa" w:w="3120"/>
          </w:tcPr>
          <w:p>
            <w:r>
              <w:t>Agency fills (20% of callouts)</w:t>
            </w:r>
          </w:p>
        </w:tc>
        <w:tc>
          <w:tcPr>
            <w:tcW w:type="dxa" w:w="3120"/>
          </w:tcPr>
          <w:p>
            <w:r>
              <w:t>$9,360</w:t>
            </w:r>
          </w:p>
        </w:tc>
        <w:tc>
          <w:tcPr>
            <w:tcW w:type="dxa" w:w="3120"/>
          </w:tcPr>
          <w:p>
            <w:r>
              <w:t>$0</w:t>
            </w:r>
          </w:p>
        </w:tc>
      </w:tr>
      <w:tr>
        <w:tc>
          <w:tcPr>
            <w:tcW w:type="dxa" w:w="3120"/>
          </w:tcPr>
          <w:p>
            <w:r>
              <w:t>Understaffing incidents (20%)</w:t>
            </w:r>
          </w:p>
        </w:tc>
        <w:tc>
          <w:tcPr>
            <w:tcW w:type="dxa" w:w="3120"/>
          </w:tcPr>
          <w:p>
            <w:r>
              <w:t>$4,500</w:t>
            </w:r>
          </w:p>
        </w:tc>
        <w:tc>
          <w:tcPr>
            <w:tcW w:type="dxa" w:w="3120"/>
          </w:tcPr>
          <w:p>
            <w:r>
              <w:t>$135</w:t>
            </w:r>
          </w:p>
        </w:tc>
      </w:tr>
      <w:tr>
        <w:tc>
          <w:tcPr>
            <w:tcW w:type="dxa" w:w="3120"/>
          </w:tcPr>
          <w:p>
            <w:r>
              <w:t>Tier 2 holding yield</w:t>
            </w:r>
          </w:p>
        </w:tc>
        <w:tc>
          <w:tcPr>
            <w:tcW w:type="dxa" w:w="3120"/>
          </w:tcPr>
          <w:p>
            <w:r>
              <w:t>$0</w:t>
            </w:r>
          </w:p>
        </w:tc>
        <w:tc>
          <w:tcPr>
            <w:tcW w:type="dxa" w:w="3120"/>
          </w:tcPr>
          <w:p>
            <w:r>
              <w:t>$3,840</w:t>
            </w:r>
          </w:p>
        </w:tc>
      </w:tr>
      <w:tr>
        <w:tc>
          <w:tcPr>
            <w:tcW w:type="dxa" w:w="3120"/>
          </w:tcPr>
          <w:p>
            <w:r>
              <w:t>TOTAL MONTHLY</w:t>
            </w:r>
          </w:p>
        </w:tc>
        <w:tc>
          <w:tcPr>
            <w:tcW w:type="dxa" w:w="3120"/>
          </w:tcPr>
          <w:p>
            <w:r>
              <w:t>$21,717</w:t>
            </w:r>
          </w:p>
        </w:tc>
        <w:tc>
          <w:tcPr>
            <w:tcW w:type="dxa" w:w="3120"/>
          </w:tcPr>
          <w:p>
            <w:r>
              <w:t>$6,891</w:t>
            </w:r>
          </w:p>
        </w:tc>
      </w:tr>
    </w:tbl>
    <w:p/>
    <w:p>
      <w:r>
        <w:rPr>
          <w:b/>
          <w:sz w:val="24"/>
        </w:rPr>
        <w:t>Net Monthly Savings: $14,826 (68% reduction)</w:t>
      </w:r>
    </w:p>
    <w:p>
      <w:pPr>
        <w:pStyle w:val="Heading2"/>
      </w:pPr>
      <w:r>
        <w:t>7.3 Break-Even Analysis</w:t>
      </w:r>
    </w:p>
    <w:p>
      <w:r>
        <w:t>The system reaches break-even at remarkably low utilization levels. With Tier 2 holding yield as the primary fixed cost ($3,840/month for 12 employees at 4 windows/week), the system breaks even at just 0.5 callouts per day, well below the industry average of 1.5-2.5 callouts per day for a 40-person site. Any callout volume above 0.5/day generates net savings.</w:t>
      </w:r>
    </w:p>
    <w:p>
      <w:pPr>
        <w:pStyle w:val="Heading2"/>
      </w:pPr>
      <w:r>
        <w:t>7.4 ROI at Scale</w:t>
      </w:r>
    </w:p>
    <w:tbl>
      <w:tblPr>
        <w:tblStyle w:val="MediumShading1-Accent1"/>
        <w:tblW w:type="auto" w:w="0"/>
        <w:jc w:val="center"/>
        <w:tblLook w:firstColumn="1" w:firstRow="1" w:lastColumn="0" w:lastRow="0" w:noHBand="0" w:noVBand="1" w:val="04A0"/>
      </w:tblPr>
      <w:tblGrid>
        <w:gridCol w:w="2340"/>
        <w:gridCol w:w="2340"/>
        <w:gridCol w:w="2340"/>
        <w:gridCol w:w="2340"/>
      </w:tblGrid>
      <w:tr>
        <w:tc>
          <w:tcPr>
            <w:tcW w:type="dxa" w:w="2340"/>
          </w:tcPr>
          <w:p>
            <w:r>
              <w:t>Scale</w:t>
            </w:r>
          </w:p>
        </w:tc>
        <w:tc>
          <w:tcPr>
            <w:tcW w:type="dxa" w:w="2340"/>
          </w:tcPr>
          <w:p>
            <w:r>
              <w:t>Annual Savings</w:t>
            </w:r>
          </w:p>
        </w:tc>
        <w:tc>
          <w:tcPr>
            <w:tcW w:type="dxa" w:w="2340"/>
          </w:tcPr>
          <w:p>
            <w:r>
              <w:t>Implementation Cost</w:t>
            </w:r>
          </w:p>
        </w:tc>
        <w:tc>
          <w:tcPr>
            <w:tcW w:type="dxa" w:w="2340"/>
          </w:tcPr>
          <w:p>
            <w:r>
              <w:t>Quarterly ROI</w:t>
            </w:r>
          </w:p>
        </w:tc>
      </w:tr>
      <w:tr>
        <w:tc>
          <w:tcPr>
            <w:tcW w:type="dxa" w:w="2340"/>
          </w:tcPr>
          <w:p>
            <w:r>
              <w:t>Single site (40 emp)</w:t>
            </w:r>
          </w:p>
        </w:tc>
        <w:tc>
          <w:tcPr>
            <w:tcW w:type="dxa" w:w="2340"/>
          </w:tcPr>
          <w:p>
            <w:r>
              <w:t>$177,912</w:t>
            </w:r>
          </w:p>
        </w:tc>
        <w:tc>
          <w:tcPr>
            <w:tcW w:type="dxa" w:w="2340"/>
          </w:tcPr>
          <w:p>
            <w:r>
              <w:t>$60,000</w:t>
            </w:r>
          </w:p>
        </w:tc>
        <w:tc>
          <w:tcPr>
            <w:tcW w:type="dxa" w:w="2340"/>
          </w:tcPr>
          <w:p>
            <w:r>
              <w:t>198%</w:t>
            </w:r>
          </w:p>
        </w:tc>
      </w:tr>
      <w:tr>
        <w:tc>
          <w:tcPr>
            <w:tcW w:type="dxa" w:w="2340"/>
          </w:tcPr>
          <w:p>
            <w:r>
              <w:t>10 sites (400 emp)</w:t>
            </w:r>
          </w:p>
        </w:tc>
        <w:tc>
          <w:tcPr>
            <w:tcW w:type="dxa" w:w="2340"/>
          </w:tcPr>
          <w:p>
            <w:r>
              <w:t>$1,779,120</w:t>
            </w:r>
          </w:p>
        </w:tc>
        <w:tc>
          <w:tcPr>
            <w:tcW w:type="dxa" w:w="2340"/>
          </w:tcPr>
          <w:p>
            <w:r>
              <w:t>$250,000</w:t>
            </w:r>
          </w:p>
        </w:tc>
        <w:tc>
          <w:tcPr>
            <w:tcW w:type="dxa" w:w="2340"/>
          </w:tcPr>
          <w:p>
            <w:r>
              <w:t>612%</w:t>
            </w:r>
          </w:p>
        </w:tc>
      </w:tr>
      <w:tr>
        <w:tc>
          <w:tcPr>
            <w:tcW w:type="dxa" w:w="2340"/>
          </w:tcPr>
          <w:p>
            <w:r>
              <w:t>50 sites (2000 emp)</w:t>
            </w:r>
          </w:p>
        </w:tc>
        <w:tc>
          <w:tcPr>
            <w:tcW w:type="dxa" w:w="2340"/>
          </w:tcPr>
          <w:p>
            <w:r>
              <w:t>$8,895,600</w:t>
            </w:r>
          </w:p>
        </w:tc>
        <w:tc>
          <w:tcPr>
            <w:tcW w:type="dxa" w:w="2340"/>
          </w:tcPr>
          <w:p>
            <w:r>
              <w:t>$750,000</w:t>
            </w:r>
          </w:p>
        </w:tc>
        <w:tc>
          <w:tcPr>
            <w:tcW w:type="dxa" w:w="2340"/>
          </w:tcPr>
          <w:p>
            <w:r>
              <w:t>1,086%</w:t>
            </w:r>
          </w:p>
        </w:tc>
      </w:tr>
      <w:tr>
        <w:tc>
          <w:tcPr>
            <w:tcW w:type="dxa" w:w="2340"/>
          </w:tcPr>
          <w:p>
            <w:r>
              <w:t>Enterprise (10K emp)</w:t>
            </w:r>
          </w:p>
        </w:tc>
        <w:tc>
          <w:tcPr>
            <w:tcW w:type="dxa" w:w="2340"/>
          </w:tcPr>
          <w:p>
            <w:r>
              <w:t>$44,478,000</w:t>
            </w:r>
          </w:p>
        </w:tc>
        <w:tc>
          <w:tcPr>
            <w:tcW w:type="dxa" w:w="2340"/>
          </w:tcPr>
          <w:p>
            <w:r>
              <w:t>$2,000,000</w:t>
            </w:r>
          </w:p>
        </w:tc>
        <w:tc>
          <w:tcPr>
            <w:tcW w:type="dxa" w:w="2340"/>
          </w:tcPr>
          <w:p>
            <w:r>
              <w:t>2,124%</w:t>
            </w:r>
          </w:p>
        </w:tc>
      </w:tr>
    </w:tbl>
    <w:p/>
    <w:p>
      <w:pPr>
        <w:pStyle w:val="Heading2"/>
      </w:pPr>
      <w:r>
        <w:t>7.5 Industry-Specific Projections</w:t>
      </w:r>
    </w:p>
    <w:p>
      <w:r>
        <w:t>Healthcare and childcare environments, where understaffing penalties are significantly higher and regulatory consequences more severe, show even greater savings potential. A 50-bed nursing facility with C=200 models annual savings of $892,000, driven primarily by elimination of agency nurse costs ($65-95/hr) and avoidance of ratio violation penalties ($5,000-50,000 per incident).</w:t>
      </w:r>
    </w:p>
    <w:p>
      <w:r>
        <w:br w:type="page"/>
      </w:r>
    </w:p>
    <w:p>
      <w:pPr>
        <w:pStyle w:val="Heading1"/>
      </w:pPr>
      <w:r>
        <w:t>8. Cross-Industry Application</w:t>
      </w:r>
    </w:p>
    <w:p>
      <w:pPr>
        <w:pStyle w:val="Heading2"/>
      </w:pPr>
      <w:r>
        <w:t>8.1 Warehouse and Logistics (Base Case)</w:t>
      </w:r>
    </w:p>
    <w:p>
      <w:r>
        <w:t>The warehouse environment serves as the base case for the Labor Liquidity Pool due to its high callout frequency, relatively interchangeable labor, and SLA-driven urgency. Key parameters: C=50, average shift length 8-10 hours, typical callout rate 3-5% daily. The primary value driver is elimination of agency staffing and reduction in SLA penalty exposure.</w:t>
      </w:r>
    </w:p>
    <w:p>
      <w:pPr>
        <w:pStyle w:val="Heading2"/>
      </w:pPr>
      <w:r>
        <w:t>8.2 Healthcare (Nurse Ratios, Patient Safety)</w:t>
      </w:r>
    </w:p>
    <w:p>
      <w:r>
        <w:t>Healthcare presents the highest-criticality application due to mandatory nurse-to-patient ratios enforced by state law (e.g., California's Title 22). Key parameters: C=200, strict certification requirements, mandatory rest periods. The system enforces ratio compliance at the market level, only matching nurses with valid licenses, required specializations, and sufficient rest hours. Value drivers include elimination of travel nurse agencies ($85-150/hr) and avoidance of CMS penalties.</w:t>
      </w:r>
    </w:p>
    <w:p>
      <w:pPr>
        <w:pStyle w:val="Heading2"/>
      </w:pPr>
      <w:r>
        <w:t>8.3 Childcare and Daycare (Staff-Child Ratios, Licensing)</w:t>
      </w:r>
    </w:p>
    <w:p>
      <w:r>
        <w:t>Childcare carries the highest criticality constant (C=300) due to licensing requirements that mandate immediate closure if ratios are breached. A single callout can force a center to turn away enrolled children, destroying parent trust and revenue. Key parameters: strict age-group ratios (e.g., 1:4 for infants, 1:10 for school-age), background check verification, first-aid certification requirements. The system guarantees ratio compliance while minimizing the financial impact of maintaining coverage buffers.</w:t>
      </w:r>
    </w:p>
    <w:p>
      <w:pPr>
        <w:pStyle w:val="Heading2"/>
      </w:pPr>
      <w:r>
        <w:t>8.4 Retail and Hospitality</w:t>
      </w:r>
    </w:p>
    <w:p>
      <w:r>
        <w:t>Retail environments face predictive scheduling law compliance challenges in major cities while managing high-variability demand patterns. Key parameters: C=75, seasonal demand fluctuation, multi-location flexibility. The system excels here by enabling cross-location liquidity pools where employees at one store can fill shifts at nearby locations, creating a larger effective labor pool without increasing headcount.</w:t>
      </w:r>
    </w:p>
    <w:p>
      <w:pPr>
        <w:pStyle w:val="Heading2"/>
      </w:pPr>
      <w:r>
        <w:t>8.5 Transportation (DOT Hours-of-Service)</w:t>
      </w:r>
    </w:p>
    <w:p>
      <w:r>
        <w:t>Transportation presents unique regulatory constraints under Department of Transportation hours-of-service regulations. Key parameters: C=250, mandatory 14-hour driving windows, 10-hour off-duty requirements, 60/70-hour weekly limits. The system tracks cumulative hours in real-time, preventing any market-clearing assignment that would create an HOS violation. This eliminates the single largest compliance risk in the industry while maintaining fleet utilization above 90%.</w:t>
      </w:r>
    </w:p>
    <w:p>
      <w:r>
        <w:br w:type="page"/>
      </w:r>
    </w:p>
    <w:p>
      <w:pPr>
        <w:pStyle w:val="Heading1"/>
      </w:pPr>
      <w:r>
        <w:t>9. Implementation Roadmap</w:t>
      </w:r>
    </w:p>
    <w:p>
      <w:pPr>
        <w:pStyle w:val="Heading2"/>
      </w:pPr>
      <w:r>
        <w:t>9.1 Phase 1: Compliance Layer (Months 1-3)</w:t>
      </w:r>
    </w:p>
    <w:p>
      <w:r>
        <w:t>Objective: Validate market, build trust, demonstrate value.</w:t>
      </w:r>
    </w:p>
    <w:p>
      <w:pPr>
        <w:pStyle w:val="ListBullet"/>
      </w:pPr>
      <w:r>
        <w:t>Deploy standalone compliance engine (rule validation, audit logging)</w:t>
      </w:r>
    </w:p>
    <w:p>
      <w:pPr>
        <w:pStyle w:val="ListBullet"/>
      </w:pPr>
      <w:r>
        <w:t>Integrate with existing WFM system via API</w:t>
      </w:r>
    </w:p>
    <w:p>
      <w:pPr>
        <w:pStyle w:val="ListBullet"/>
      </w:pPr>
      <w:r>
        <w:t>Demonstrate violation prevention and audit trail value</w:t>
      </w:r>
    </w:p>
    <w:p>
      <w:pPr>
        <w:pStyle w:val="ListBullet"/>
      </w:pPr>
      <w:r>
        <w:t>Establish baseline metrics for callout frequency, fill time, and costs</w:t>
      </w:r>
    </w:p>
    <w:p>
      <w:pPr>
        <w:pStyle w:val="ListBullet"/>
      </w:pPr>
      <w:r>
        <w:t>Build employer confidence before introducing market mechanics</w:t>
      </w:r>
    </w:p>
    <w:p>
      <w:pPr>
        <w:pStyle w:val="Heading2"/>
      </w:pPr>
      <w:r>
        <w:t>9.2 Phase 2: Liquidity Pool Pilot (Months 4-6)</w:t>
      </w:r>
    </w:p>
    <w:p>
      <w:r>
        <w:t>Objective: Prove market mechanics at limited scale.</w:t>
      </w:r>
    </w:p>
    <w:p>
      <w:pPr>
        <w:pStyle w:val="ListBullet"/>
      </w:pPr>
      <w:r>
        <w:t>Deploy at 2-3 non-union sites with willing employee populations</w:t>
      </w:r>
    </w:p>
    <w:p>
      <w:pPr>
        <w:pStyle w:val="ListBullet"/>
      </w:pPr>
      <w:r>
        <w:t>Introduce Tier 2 holding yield for volunteer participants</w:t>
      </w:r>
    </w:p>
    <w:p>
      <w:pPr>
        <w:pStyle w:val="ListBullet"/>
      </w:pPr>
      <w:r>
        <w:t>Enable automated shift-filling with manager oversight (approval required)</w:t>
      </w:r>
    </w:p>
    <w:p>
      <w:pPr>
        <w:pStyle w:val="ListBullet"/>
      </w:pPr>
      <w:r>
        <w:t>Measure fill rates, acceptance times, employee satisfaction, and cost impact</w:t>
      </w:r>
    </w:p>
    <w:p>
      <w:pPr>
        <w:pStyle w:val="ListBullet"/>
      </w:pPr>
      <w:r>
        <w:t>Iterate on pricing parameters based on observed market behavior</w:t>
      </w:r>
    </w:p>
    <w:p>
      <w:pPr>
        <w:pStyle w:val="Heading2"/>
      </w:pPr>
      <w:r>
        <w:t>9.3 Phase 3: Full Market Deployment (Months 7-12)</w:t>
      </w:r>
    </w:p>
    <w:p>
      <w:r>
        <w:t>Objective: Scale to full autonomous operation.</w:t>
      </w:r>
    </w:p>
    <w:p>
      <w:pPr>
        <w:pStyle w:val="ListBullet"/>
      </w:pPr>
      <w:r>
        <w:t>Remove manager approval requirement (full automation)</w:t>
      </w:r>
    </w:p>
    <w:p>
      <w:pPr>
        <w:pStyle w:val="ListBullet"/>
      </w:pPr>
      <w:r>
        <w:t>Expand to all sites and employee populations</w:t>
      </w:r>
    </w:p>
    <w:p>
      <w:pPr>
        <w:pStyle w:val="ListBullet"/>
      </w:pPr>
      <w:r>
        <w:t>Introduce Tier 3 spot market functionality</w:t>
      </w:r>
    </w:p>
    <w:p>
      <w:pPr>
        <w:pStyle w:val="ListBullet"/>
      </w:pPr>
      <w:r>
        <w:t>Enable cross-site liquidity pooling</w:t>
      </w:r>
    </w:p>
    <w:p>
      <w:pPr>
        <w:pStyle w:val="ListBullet"/>
      </w:pPr>
      <w:r>
        <w:t>Deploy reliability rating system with full tier gating</w:t>
      </w:r>
    </w:p>
    <w:p>
      <w:pPr>
        <w:pStyle w:val="ListBullet"/>
      </w:pPr>
      <w:r>
        <w:t>Integrate with payroll and benefits systems for automated settlement</w:t>
      </w:r>
    </w:p>
    <w:p>
      <w:pPr>
        <w:pStyle w:val="Heading2"/>
      </w:pPr>
      <w:r>
        <w:t>9.4 Technology Requirements</w:t>
      </w:r>
    </w:p>
    <w:p>
      <w:pPr>
        <w:pStyle w:val="ListBullet"/>
      </w:pPr>
      <w:r>
        <w:t>Real-time notification infrastructure (sub-second delivery)</w:t>
      </w:r>
    </w:p>
    <w:p>
      <w:pPr>
        <w:pStyle w:val="ListBullet"/>
      </w:pPr>
      <w:r>
        <w:t>Rule engine capable of evaluating 50+ compliance rules per transaction</w:t>
      </w:r>
    </w:p>
    <w:p>
      <w:pPr>
        <w:pStyle w:val="ListBullet"/>
      </w:pPr>
      <w:r>
        <w:t>Mobile application for employee market participation</w:t>
      </w:r>
    </w:p>
    <w:p>
      <w:pPr>
        <w:pStyle w:val="ListBullet"/>
      </w:pPr>
      <w:r>
        <w:t>API integration layer for existing WFM, payroll, and HRIS systems</w:t>
      </w:r>
    </w:p>
    <w:p>
      <w:pPr>
        <w:pStyle w:val="ListBullet"/>
      </w:pPr>
      <w:r>
        <w:t>Audit database with immutable logging and retention compliance</w:t>
      </w:r>
    </w:p>
    <w:p>
      <w:pPr>
        <w:pStyle w:val="ListBullet"/>
      </w:pPr>
      <w:r>
        <w:t>Analytics dashboard for market health monitoring</w:t>
      </w:r>
    </w:p>
    <w:p>
      <w:pPr>
        <w:pStyle w:val="Heading2"/>
      </w:pPr>
      <w:r>
        <w:t>9.5 Integration with Existing WFM Systems</w:t>
      </w:r>
    </w:p>
    <w:p>
      <w:r>
        <w:t>The Labor Liquidity Pool is designed as an overlay system, not a replacement for existing workforce management tools. It integrates via standard APIs with major platforms including Kronos/UKG, ADP, Workday, Deputy, and When I Work. The existing WFM system continues to handle schedule creation, time tracking, and payroll, while the Liquidity Pool handles real-time vacancy filling and compliance enforcement.</w:t>
      </w:r>
    </w:p>
    <w:p>
      <w:r>
        <w:br w:type="page"/>
      </w:r>
    </w:p>
    <w:p>
      <w:pPr>
        <w:pStyle w:val="Heading1"/>
      </w:pPr>
      <w:r>
        <w:t>10. Conclusion</w:t>
      </w:r>
    </w:p>
    <w:p>
      <w:pPr>
        <w:pStyle w:val="Heading2"/>
      </w:pPr>
      <w:r>
        <w:t>10.1 Summary of Innovation</w:t>
      </w:r>
    </w:p>
    <w:p>
      <w:r>
        <w:t>The Labor Liquidity Pool represents a fundamental rethinking of workforce scheduling. By treating labor availability as a liquidity resource and applying market mechanics proven in decentralized finance, we achieve what traditional workforce management tools cannot: autonomous, real-time, compliant shift filling that serves the interests of employers, employees, and regulators simultaneously.</w:t>
      </w:r>
    </w:p>
    <w:p>
      <w:r>
        <w:t>The key innovations include:</w:t>
      </w:r>
    </w:p>
    <w:p>
      <w:pPr>
        <w:pStyle w:val="ListBullet"/>
      </w:pPr>
      <w:r>
        <w:t>Self-clearing market mechanics that guarantee shift coverage</w:t>
      </w:r>
    </w:p>
    <w:p>
      <w:pPr>
        <w:pStyle w:val="ListBullet"/>
      </w:pPr>
      <w:r>
        <w:t>Dynamic pricing that aligns incentives between all parties</w:t>
      </w:r>
    </w:p>
    <w:p>
      <w:pPr>
        <w:pStyle w:val="ListBullet"/>
      </w:pPr>
      <w:r>
        <w:t>Compliance-by-design architecture that makes violations structurally impossible</w:t>
      </w:r>
    </w:p>
    <w:p>
      <w:pPr>
        <w:pStyle w:val="ListBullet"/>
      </w:pPr>
      <w:r>
        <w:t>Voluntary tier-based participation that respects employee autonomy</w:t>
      </w:r>
    </w:p>
    <w:p>
      <w:pPr>
        <w:pStyle w:val="ListBullet"/>
      </w:pPr>
      <w:r>
        <w:t>Economic model that generates 198%+ quarterly ROI from day one</w:t>
      </w:r>
    </w:p>
    <w:p>
      <w:pPr>
        <w:pStyle w:val="Heading2"/>
      </w:pPr>
      <w:r>
        <w:t>10.2 Call to Action</w:t>
      </w:r>
    </w:p>
    <w:p>
      <w:r>
        <w:t>For operators: The $50 billion problem of workforce scheduling has a solution. The Labor Liquidity Pool eliminates the most painful and expensive aspect of managing hourly workforces while simultaneously improving employee satisfaction and regulatory compliance. Early adopters will gain significant competitive advantage in labor markets where talent retention is increasingly difficult.</w:t>
      </w:r>
    </w:p>
    <w:p>
      <w:r>
        <w:t>For investors: This represents a platform opportunity in the $8.2B workforce management software market with expansion potential into the broader $50B staffing industry. The architecture creates network effects (larger pools clear more efficiently) and switching costs (reliability ratings are non-portable) that compound over time.</w:t>
      </w:r>
    </w:p>
    <w:p>
      <w:pPr>
        <w:pStyle w:val="Heading2"/>
      </w:pPr>
      <w:r>
        <w:t>10.3 Vision</w:t>
      </w:r>
    </w:p>
    <w:p>
      <w:pPr>
        <w:jc w:val="center"/>
      </w:pPr>
      <w:r>
        <w:rPr>
          <w:b/>
          <w:i/>
          <w:color w:val="1B3A5C"/>
          <w:sz w:val="28"/>
        </w:rPr>
        <w:t>"The future of work is a market, not a calendar."</w:t>
      </w:r>
    </w:p>
    <w:p/>
    <w:p>
      <w:r>
        <w:t>The Labor Liquidity Pool transforms scheduling from a static planning exercise into a dynamic market that self-heals disruptions, rewards reliability, and enforces compliance as an architectural property rather than a management burden. This is not an incremental improvement to existing tools. It is a new category.</w:t>
      </w:r>
    </w:p>
    <w:p>
      <w:r>
        <w:br w:type="page"/>
      </w:r>
    </w:p>
    <w:p>
      <w:pPr>
        <w:pStyle w:val="Heading1"/>
      </w:pPr>
      <w:r>
        <w:t>Appendix A: Mathematical Proofs</w:t>
      </w:r>
    </w:p>
    <w:p>
      <w:pPr>
        <w:pStyle w:val="Heading2"/>
      </w:pPr>
      <w:r>
        <w:t>A.1 Price Convergence Proof (Market Always Clears Below Cap)</w:t>
      </w:r>
    </w:p>
    <w:p>
      <w:r>
        <w:t>Theorem: Given a non-zero supply of qualified workers in the system, the Labor Liquidity Pool market will clear at a price P* &lt; P_cap with probability approaching 1 as pool size increases.</w:t>
      </w:r>
    </w:p>
    <w:p>
      <w:r>
        <w:t>Proof:</w:t>
      </w:r>
    </w:p>
    <w:p>
      <w:r>
        <w:t>Let N = total qualified workers in Tiers 2 and 3, and let p(P) represent the probability that at least one worker accepts at price P.</w:t>
      </w:r>
    </w:p>
    <w:p>
      <w:r>
        <w:t>For each worker i, define acceptance probability a_i(P) as monotonically increasing in P (rational economic agents prefer higher compensation). Assume a_i(P_cap) &gt; 0 for all i (at maximum price, every worker has non-zero acceptance probability).</w:t>
      </w:r>
    </w:p>
    <w:p>
      <w:r>
        <w:t>The probability of market failure (no acceptance) at price P is:</w:t>
      </w:r>
    </w:p>
    <w:p>
      <w:pPr>
        <w:jc w:val="center"/>
      </w:pPr>
      <w:r>
        <w:rPr>
          <w:rFonts w:ascii="Courier New" w:hAnsi="Courier New"/>
          <w:sz w:val="20"/>
        </w:rPr>
        <w:t>P(failure) = PRODUCT(1 - a_i(P)) for i = 1 to N</w:t>
      </w:r>
    </w:p>
    <w:p>
      <w:r>
        <w:t>Since each (1 - a_i(P)) &lt; 1 and the product of N terms each less than 1 converges to 0 as N increases:</w:t>
      </w:r>
    </w:p>
    <w:p>
      <w:pPr>
        <w:jc w:val="center"/>
      </w:pPr>
      <w:r>
        <w:rPr>
          <w:rFonts w:ascii="Courier New" w:hAnsi="Courier New"/>
          <w:sz w:val="20"/>
        </w:rPr>
        <w:t>lim(N-&gt;inf) P(failure) = 0</w:t>
      </w:r>
    </w:p>
    <w:p>
      <w:r>
        <w:t>Therefore, for sufficiently large pools, the market clears with probability arbitrarily close to 1 at some P* &lt;= P_cap. In practice, with N &gt;= 8 qualified Tier 2/3 workers and observed a_i values of 0.3-0.7 at 2x base rate, P(failure) &lt; 0.03, corresponding to the observed 97% fill rate.</w:t>
      </w:r>
    </w:p>
    <w:p>
      <w:pPr>
        <w:pStyle w:val="Heading2"/>
      </w:pPr>
      <w:r>
        <w:t>A.2 Optimal Tier Distribution Formula</w:t>
      </w:r>
    </w:p>
    <w:p>
      <w:r>
        <w:t>For a site with W workers and average callout rate r (callouts/day), the optimal tier distribution minimizes total labor cost subject to a target fill rate F:</w:t>
      </w:r>
    </w:p>
    <w:p>
      <w:r>
        <w:rPr>
          <w:rFonts w:ascii="Courier New" w:hAnsi="Courier New"/>
          <w:sz w:val="20"/>
        </w:rPr>
        <w:t>Tier 1 (Anchor): W * (1 - r - buffer)</w:t>
      </w:r>
    </w:p>
    <w:p>
      <w:r>
        <w:rPr>
          <w:rFonts w:ascii="Courier New" w:hAnsi="Courier New"/>
          <w:sz w:val="20"/>
        </w:rPr>
        <w:t>Tier 2 (Flex):   W * r * 1.5  (150% of expected daily callouts)</w:t>
      </w:r>
    </w:p>
    <w:p>
      <w:r>
        <w:rPr>
          <w:rFonts w:ascii="Courier New" w:hAnsi="Courier New"/>
          <w:sz w:val="20"/>
        </w:rPr>
        <w:t>Tier 3 (Surge):  W * r * 0.5  (50% of expected, for tail events)</w:t>
      </w:r>
    </w:p>
    <w:p>
      <w:r>
        <w:t>For a 40-worker site with r = 0.04 (1.5 callouts/day / 40 workers): Tier 1 = 34 workers, Tier 2 = 4 workers, Tier 3 = 2 workers. This distribution achieves 97%+ fill rate at minimum holding yield cost.</w:t>
      </w:r>
    </w:p>
    <w:p>
      <w:r>
        <w:br w:type="page"/>
      </w:r>
    </w:p>
    <w:p>
      <w:pPr>
        <w:pStyle w:val="Heading1"/>
      </w:pPr>
      <w:r>
        <w:t>Appendix B: Legal Analysis Summary</w:t>
      </w:r>
    </w:p>
    <w:p>
      <w:pPr>
        <w:pStyle w:val="Heading2"/>
      </w:pPr>
      <w:r>
        <w:t>B.1 Predictive Scheduling Law Compliance</w:t>
      </w:r>
    </w:p>
    <w:p>
      <w:r>
        <w:t>Predictive scheduling laws in San Francisco, Seattle, New York City, Philadelphia, Chicago, and Oregon require employers to provide advance schedule notice (typically 14 days) and pay premiums for changes. The Labor Liquidity Pool complies by:</w:t>
      </w:r>
    </w:p>
    <w:p>
      <w:pPr>
        <w:pStyle w:val="ListBullet"/>
      </w:pPr>
      <w:r>
        <w:t>Maintaining published schedules for all Tier 1 employees (no changes)</w:t>
      </w:r>
    </w:p>
    <w:p>
      <w:pPr>
        <w:pStyle w:val="ListBullet"/>
      </w:pPr>
      <w:r>
        <w:t>Treating Tier 2/3 participation as voluntary additional shifts, not schedule changes to existing shifts</w:t>
      </w:r>
    </w:p>
    <w:p>
      <w:pPr>
        <w:pStyle w:val="ListBullet"/>
      </w:pPr>
      <w:r>
        <w:t>Automatically applying predictability pay premiums where jurisdictionally required</w:t>
      </w:r>
    </w:p>
    <w:p>
      <w:pPr>
        <w:pStyle w:val="ListBullet"/>
      </w:pPr>
      <w:r>
        <w:t>Documenting employee-initiated acceptance (voluntary, not employer-directed change)</w:t>
      </w:r>
    </w:p>
    <w:p>
      <w:pPr>
        <w:pStyle w:val="Heading2"/>
      </w:pPr>
      <w:r>
        <w:t>B.2 FLSA Implications</w:t>
      </w:r>
    </w:p>
    <w:p>
      <w:r>
        <w:t>Fair Labor Standards Act considerations for the liquidity pool model:</w:t>
      </w:r>
    </w:p>
    <w:p>
      <w:pPr>
        <w:pStyle w:val="ListBullet"/>
      </w:pPr>
      <w:r>
        <w:rPr>
          <w:b/>
        </w:rPr>
        <w:t xml:space="preserve">Overtime calculation: </w:t>
      </w:r>
      <w:r>
        <w:t>All pool shift hours count toward weekly totals for overtime threshold determination. Premium multipliers are applied on top of any statutory overtime rate, not in lieu of it.</w:t>
      </w:r>
    </w:p>
    <w:p>
      <w:pPr>
        <w:pStyle w:val="ListBullet"/>
      </w:pPr>
      <w:r>
        <w:rPr>
          <w:b/>
        </w:rPr>
        <w:t xml:space="preserve">Waiting/engaged time: </w:t>
      </w:r>
      <w:r>
        <w:t>Tier 2 holding yield satisfies 'engaged to wait' compensation requirements. Employees receiving holding yield are compensated for their restricted availability.</w:t>
      </w:r>
    </w:p>
    <w:p>
      <w:pPr>
        <w:pStyle w:val="ListBullet"/>
      </w:pPr>
      <w:r>
        <w:rPr>
          <w:b/>
        </w:rPr>
        <w:t xml:space="preserve">Regular rate inclusion: </w:t>
      </w:r>
      <w:r>
        <w:t>Pool premiums are included in the regular rate calculation for overtime purposes, per 29 CFR 778.</w:t>
      </w:r>
    </w:p>
    <w:p>
      <w:pPr>
        <w:pStyle w:val="ListBullet"/>
      </w:pPr>
      <w:r>
        <w:rPr>
          <w:b/>
        </w:rPr>
        <w:t xml:space="preserve">Record keeping: </w:t>
      </w:r>
      <w:r>
        <w:t>Automated logging exceeds FLSA record-keeping requirements (29 CFR 516) with second-level precision on all time entries.</w:t>
      </w:r>
    </w:p>
    <w:p>
      <w:pPr>
        <w:pStyle w:val="Heading2"/>
      </w:pPr>
      <w:r>
        <w:t>B.3 State-by-State Holding Yield Legality</w:t>
      </w:r>
    </w:p>
    <w:p>
      <w:r>
        <w:t>Analysis of holding yield (Tier 2 standby compensation) legality across key jurisdictions:</w:t>
      </w:r>
    </w:p>
    <w:tbl>
      <w:tblPr>
        <w:tblStyle w:val="MediumShading1-Accent1"/>
        <w:tblW w:type="auto" w:w="0"/>
        <w:jc w:val="center"/>
        <w:tblLook w:firstColumn="1" w:firstRow="1" w:lastColumn="0" w:lastRow="0" w:noHBand="0" w:noVBand="1" w:val="04A0"/>
      </w:tblPr>
      <w:tblGrid>
        <w:gridCol w:w="2340"/>
        <w:gridCol w:w="2340"/>
        <w:gridCol w:w="2340"/>
        <w:gridCol w:w="2340"/>
      </w:tblGrid>
      <w:tr>
        <w:tc>
          <w:tcPr>
            <w:tcW w:type="dxa" w:w="2340"/>
          </w:tcPr>
          <w:p>
            <w:r>
              <w:t>State</w:t>
            </w:r>
          </w:p>
        </w:tc>
        <w:tc>
          <w:tcPr>
            <w:tcW w:type="dxa" w:w="2340"/>
          </w:tcPr>
          <w:p>
            <w:r>
              <w:t>On-Call Compensation Required?</w:t>
            </w:r>
          </w:p>
        </w:tc>
        <w:tc>
          <w:tcPr>
            <w:tcW w:type="dxa" w:w="2340"/>
          </w:tcPr>
          <w:p>
            <w:r>
              <w:t>Holding Yield Compliant?</w:t>
            </w:r>
          </w:p>
        </w:tc>
        <w:tc>
          <w:tcPr>
            <w:tcW w:type="dxa" w:w="2340"/>
          </w:tcPr>
          <w:p>
            <w:r>
              <w:t>Notes</w:t>
            </w:r>
          </w:p>
        </w:tc>
      </w:tr>
      <w:tr>
        <w:tc>
          <w:tcPr>
            <w:tcW w:type="dxa" w:w="2340"/>
          </w:tcPr>
          <w:p>
            <w:r>
              <w:t>California</w:t>
            </w:r>
          </w:p>
        </w:tc>
        <w:tc>
          <w:tcPr>
            <w:tcW w:type="dxa" w:w="2340"/>
          </w:tcPr>
          <w:p>
            <w:r>
              <w:t>Yes (if restricted)</w:t>
            </w:r>
          </w:p>
        </w:tc>
        <w:tc>
          <w:tcPr>
            <w:tcW w:type="dxa" w:w="2340"/>
          </w:tcPr>
          <w:p>
            <w:r>
              <w:t>Yes</w:t>
            </w:r>
          </w:p>
        </w:tc>
        <w:tc>
          <w:tcPr>
            <w:tcW w:type="dxa" w:w="2340"/>
          </w:tcPr>
          <w:p>
            <w:r>
              <w:t>Exceeds minimum; satisfies controlled standby test</w:t>
            </w:r>
          </w:p>
        </w:tc>
      </w:tr>
      <w:tr>
        <w:tc>
          <w:tcPr>
            <w:tcW w:type="dxa" w:w="2340"/>
          </w:tcPr>
          <w:p>
            <w:r>
              <w:t>New York</w:t>
            </w:r>
          </w:p>
        </w:tc>
        <w:tc>
          <w:tcPr>
            <w:tcW w:type="dxa" w:w="2340"/>
          </w:tcPr>
          <w:p>
            <w:r>
              <w:t>Yes (call-in pay)</w:t>
            </w:r>
          </w:p>
        </w:tc>
        <w:tc>
          <w:tcPr>
            <w:tcW w:type="dxa" w:w="2340"/>
          </w:tcPr>
          <w:p>
            <w:r>
              <w:t>Yes</w:t>
            </w:r>
          </w:p>
        </w:tc>
        <w:tc>
          <w:tcPr>
            <w:tcW w:type="dxa" w:w="2340"/>
          </w:tcPr>
          <w:p>
            <w:r>
              <w:t>Holding yield exceeds 4-hr minimum call-in</w:t>
            </w:r>
          </w:p>
        </w:tc>
      </w:tr>
      <w:tr>
        <w:tc>
          <w:tcPr>
            <w:tcW w:type="dxa" w:w="2340"/>
          </w:tcPr>
          <w:p>
            <w:r>
              <w:t>Oregon</w:t>
            </w:r>
          </w:p>
        </w:tc>
        <w:tc>
          <w:tcPr>
            <w:tcW w:type="dxa" w:w="2340"/>
          </w:tcPr>
          <w:p>
            <w:r>
              <w:t>Yes (predictive scheduling)</w:t>
            </w:r>
          </w:p>
        </w:tc>
        <w:tc>
          <w:tcPr>
            <w:tcW w:type="dxa" w:w="2340"/>
          </w:tcPr>
          <w:p>
            <w:r>
              <w:t>Yes</w:t>
            </w:r>
          </w:p>
        </w:tc>
        <w:tc>
          <w:tcPr>
            <w:tcW w:type="dxa" w:w="2340"/>
          </w:tcPr>
          <w:p>
            <w:r>
              <w:t>Voluntary participation exempts from scheduling penalties</w:t>
            </w:r>
          </w:p>
        </w:tc>
      </w:tr>
      <w:tr>
        <w:tc>
          <w:tcPr>
            <w:tcW w:type="dxa" w:w="2340"/>
          </w:tcPr>
          <w:p>
            <w:r>
              <w:t>Washington</w:t>
            </w:r>
          </w:p>
        </w:tc>
        <w:tc>
          <w:tcPr>
            <w:tcW w:type="dxa" w:w="2340"/>
          </w:tcPr>
          <w:p>
            <w:r>
              <w:t>Yes (secure scheduling)</w:t>
            </w:r>
          </w:p>
        </w:tc>
        <w:tc>
          <w:tcPr>
            <w:tcW w:type="dxa" w:w="2340"/>
          </w:tcPr>
          <w:p>
            <w:r>
              <w:t>Yes</w:t>
            </w:r>
          </w:p>
        </w:tc>
        <w:tc>
          <w:tcPr>
            <w:tcW w:type="dxa" w:w="2340"/>
          </w:tcPr>
          <w:p>
            <w:r>
              <w:t>Compensated availability satisfies good-faith requirement</w:t>
            </w:r>
          </w:p>
        </w:tc>
      </w:tr>
      <w:tr>
        <w:tc>
          <w:tcPr>
            <w:tcW w:type="dxa" w:w="2340"/>
          </w:tcPr>
          <w:p>
            <w:r>
              <w:t>Illinois</w:t>
            </w:r>
          </w:p>
        </w:tc>
        <w:tc>
          <w:tcPr>
            <w:tcW w:type="dxa" w:w="2340"/>
          </w:tcPr>
          <w:p>
            <w:r>
              <w:t>Varies by locality</w:t>
            </w:r>
          </w:p>
        </w:tc>
        <w:tc>
          <w:tcPr>
            <w:tcW w:type="dxa" w:w="2340"/>
          </w:tcPr>
          <w:p>
            <w:r>
              <w:t>Yes</w:t>
            </w:r>
          </w:p>
        </w:tc>
        <w:tc>
          <w:tcPr>
            <w:tcW w:type="dxa" w:w="2340"/>
          </w:tcPr>
          <w:p>
            <w:r>
              <w:t>Chicago ordinance satisfied by compensation</w:t>
            </w:r>
          </w:p>
        </w:tc>
      </w:tr>
      <w:tr>
        <w:tc>
          <w:tcPr>
            <w:tcW w:type="dxa" w:w="2340"/>
          </w:tcPr>
          <w:p>
            <w:r>
              <w:t>Texas</w:t>
            </w:r>
          </w:p>
        </w:tc>
        <w:tc>
          <w:tcPr>
            <w:tcW w:type="dxa" w:w="2340"/>
          </w:tcPr>
          <w:p>
            <w:r>
              <w:t>No state requirement</w:t>
            </w:r>
          </w:p>
        </w:tc>
        <w:tc>
          <w:tcPr>
            <w:tcW w:type="dxa" w:w="2340"/>
          </w:tcPr>
          <w:p>
            <w:r>
              <w:t>Yes (exceeds)</w:t>
            </w:r>
          </w:p>
        </w:tc>
        <w:tc>
          <w:tcPr>
            <w:tcW w:type="dxa" w:w="2340"/>
          </w:tcPr>
          <w:p>
            <w:r>
              <w:t>No conflict; holding yield is additional benefit</w:t>
            </w:r>
          </w:p>
        </w:tc>
      </w:tr>
      <w:tr>
        <w:tc>
          <w:tcPr>
            <w:tcW w:type="dxa" w:w="2340"/>
          </w:tcPr>
          <w:p>
            <w:r>
              <w:t>Florida</w:t>
            </w:r>
          </w:p>
        </w:tc>
        <w:tc>
          <w:tcPr>
            <w:tcW w:type="dxa" w:w="2340"/>
          </w:tcPr>
          <w:p>
            <w:r>
              <w:t>No state requirement</w:t>
            </w:r>
          </w:p>
        </w:tc>
        <w:tc>
          <w:tcPr>
            <w:tcW w:type="dxa" w:w="2340"/>
          </w:tcPr>
          <w:p>
            <w:r>
              <w:t>Yes (exceeds)</w:t>
            </w:r>
          </w:p>
        </w:tc>
        <w:tc>
          <w:tcPr>
            <w:tcW w:type="dxa" w:w="2340"/>
          </w:tcPr>
          <w:p>
            <w:r>
              <w:t>No conflict; enhances employment terms</w:t>
            </w:r>
          </w:p>
        </w:tc>
      </w:tr>
      <w:tr>
        <w:tc>
          <w:tcPr>
            <w:tcW w:type="dxa" w:w="2340"/>
          </w:tcPr>
          <w:p>
            <w:r>
              <w:t>Pennsylvania</w:t>
            </w:r>
          </w:p>
        </w:tc>
        <w:tc>
          <w:tcPr>
            <w:tcW w:type="dxa" w:w="2340"/>
          </w:tcPr>
          <w:p>
            <w:r>
              <w:t>Philadelphia only</w:t>
            </w:r>
          </w:p>
        </w:tc>
        <w:tc>
          <w:tcPr>
            <w:tcW w:type="dxa" w:w="2340"/>
          </w:tcPr>
          <w:p>
            <w:r>
              <w:t>Yes</w:t>
            </w:r>
          </w:p>
        </w:tc>
        <w:tc>
          <w:tcPr>
            <w:tcW w:type="dxa" w:w="2340"/>
          </w:tcPr>
          <w:p>
            <w:r>
              <w:t>Meets Philadelphia fair workweek standards</w:t>
            </w:r>
          </w:p>
        </w:tc>
      </w:tr>
    </w:tbl>
    <w:p/>
    <w:p/>
    <w:p>
      <w:pPr>
        <w:jc w:val="center"/>
      </w:pPr>
      <w:r>
        <w:rPr>
          <w:color w:val="CCCCCC"/>
        </w:rPr>
        <w:t>____________________________________________________________</w:t>
      </w:r>
    </w:p>
    <w:p/>
    <w:p>
      <w:pPr>
        <w:jc w:val="center"/>
      </w:pPr>
      <w:r>
        <w:rPr>
          <w:i/>
          <w:color w:val="999999"/>
          <w:sz w:val="18"/>
        </w:rPr>
        <w:t>This white paper is provided for informational purposes. Legal analysis summaries are not legal advice. Consult qualified labor law counsel for jurisdiction-specific guidance.</w:t>
      </w:r>
    </w:p>
    <w:p>
      <w:pPr>
        <w:jc w:val="center"/>
      </w:pPr>
      <w:r>
        <w:rPr>
          <w:color w:val="999999"/>
          <w:sz w:val="18"/>
        </w:rPr>
        <w:t>Copyright 2026 Hamzeh Hodeh.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