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96D69">
      <w:pPr>
        <w:spacing w:before="1600" w:after="360"/>
        <w:jc w:val="left"/>
      </w:pPr>
      <w:r>
        <w:rPr>
          <w:rFonts w:ascii="Arial" w:hAnsi="Arial" w:eastAsia="黑体"/>
          <w:b/>
          <w:i w:val="0"/>
          <w:color w:val="17407A"/>
          <w:sz w:val="44"/>
        </w:rPr>
        <w:t>智能题库管理系统 · AI 技术应用说明（专项文档）</w:t>
      </w:r>
    </w:p>
    <w:tbl>
      <w:tblPr>
        <w:tblStyle w:val="34"/>
        <w:tblW w:w="0" w:type="auto"/>
        <w:jc w:val="center"/>
        <w:tblBorders>
          <w:top w:val="single" w:color="C9D5E4" w:sz="4" w:space="0"/>
          <w:left w:val="single" w:color="C9D5E4" w:sz="4" w:space="0"/>
          <w:bottom w:val="single" w:color="C9D5E4" w:sz="4" w:space="0"/>
          <w:right w:val="single" w:color="C9D5E4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071"/>
      </w:tblGrid>
      <w:tr w14:paraId="7F1B4969">
        <w:tblPrEx>
          <w:tblBorders>
            <w:top w:val="single" w:color="C9D5E4" w:sz="4" w:space="0"/>
            <w:left w:val="single" w:color="C9D5E4" w:sz="4" w:space="0"/>
            <w:bottom w:val="single" w:color="C9D5E4" w:sz="4" w:space="0"/>
            <w:right w:val="single" w:color="C9D5E4" w:sz="4" w:space="0"/>
            <w:insideH w:val="none" w:color="FFFFFF" w:sz="0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9071" w:type="dxa"/>
            <w:shd w:val="clear" w:color="auto" w:fill="F2F6FA"/>
          </w:tcPr>
          <w:p w14:paraId="2BA76556">
            <w:pPr>
              <w:spacing w:after="20" w:line="312" w:lineRule="auto"/>
              <w:jc w:val="left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文档版本：v1.3.0 配套（draft-1）</w:t>
            </w:r>
          </w:p>
          <w:p w14:paraId="5E073CF7">
            <w:pPr>
              <w:spacing w:after="20" w:line="312" w:lineRule="auto"/>
              <w:jc w:val="left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数据口径：2026-09-09；仓库 HEAD `c6f7152`</w:t>
            </w:r>
          </w:p>
          <w:p w14:paraId="419F4FDF">
            <w:pPr>
              <w:spacing w:after="20" w:line="312" w:lineRule="auto"/>
              <w:jc w:val="left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文档性质：单独出具的技术专项说明，含四部分——① AI 介入环境与核心价值；② 数据来源与合法性；③ 算法可解释性；④ AI 伦理风险评估。</w:t>
            </w:r>
          </w:p>
          <w:p w14:paraId="18B90ED5">
            <w:pPr>
              <w:spacing w:after="20" w:line="312" w:lineRule="auto"/>
              <w:jc w:val="left"/>
            </w:pPr>
            <w:r>
              <w:rPr>
                <w:rFonts w:ascii="FangSong" w:hAnsi="FangSong" w:eastAsia="仿宋"/>
                <w:b w:val="0"/>
                <w:i w:val="0"/>
                <w:color w:val="44546A"/>
                <w:sz w:val="20"/>
              </w:rPr>
              <w:t>事实声明：本文所有“系统行为/代码位置/版本记录”均可在开源仓库 github.com/Han-Haocheng/IntelligentQuestionBank（MIT）中核查；外部法规引用仅作一般性提示，不构成法律意见【正式法律意见待咨询】。</w:t>
            </w:r>
          </w:p>
        </w:tc>
      </w:tr>
    </w:tbl>
    <w:p w14:paraId="3F4E910B">
      <w:pPr>
        <w:jc w:val="left"/>
      </w:pPr>
      <w:r>
        <w:br w:type="page"/>
      </w:r>
    </w:p>
    <w:p w14:paraId="74D81647">
      <w:pPr>
        <w:spacing w:after="200"/>
        <w:jc w:val="left"/>
      </w:pPr>
      <w:r>
        <w:rPr>
          <w:rFonts w:ascii="Arial" w:hAnsi="Arial" w:eastAsia="黑体"/>
          <w:b/>
          <w:i w:val="0"/>
          <w:color w:val="17407A"/>
          <w:sz w:val="32"/>
        </w:rPr>
        <w:t>目  录</w:t>
      </w:r>
    </w:p>
    <w:p w14:paraId="03228D06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b w:val="0"/>
          <w:i w:val="0"/>
          <w:sz w:val="20"/>
        </w:rPr>
        <w:fldChar w:fldCharType="begin"/>
      </w:r>
      <w:r>
        <w:rPr>
          <w:rFonts w:ascii="Times New Roman" w:hAnsi="Times New Roman" w:eastAsia="宋体"/>
          <w:b w:val="0"/>
          <w:i w:val="0"/>
          <w:sz w:val="20"/>
        </w:rPr>
        <w:instrText xml:space="preserve"> TOC \o "1-3" \h \z \u </w:instrText>
      </w:r>
      <w:r>
        <w:rPr>
          <w:rFonts w:ascii="Times New Roman" w:hAnsi="Times New Roman" w:eastAsia="宋体"/>
          <w:b w:val="0"/>
          <w:i w:val="0"/>
          <w:sz w:val="20"/>
        </w:rPr>
        <w:fldChar w:fldCharType="separate"/>
      </w: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_Toc475434052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1. AI 介入环境与核心价值</w:t>
      </w:r>
      <w:r>
        <w:tab/>
      </w:r>
      <w:r>
        <w:fldChar w:fldCharType="begin"/>
      </w:r>
      <w:r>
        <w:instrText xml:space="preserve"> PAGEREF _Toc475434052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3DFDC778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_Toc1698199048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1.1 版本演进（事实）</w:t>
      </w:r>
      <w:r>
        <w:tab/>
      </w:r>
      <w:r>
        <w:fldChar w:fldCharType="begin"/>
      </w:r>
      <w:r>
        <w:instrText xml:space="preserve"> PAGEREF _Toc1698199048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6B1E131C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_Toc1882580204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1.2 AI 介入的三个场景与数据流</w:t>
      </w:r>
      <w:r>
        <w:tab/>
      </w:r>
      <w:r>
        <w:fldChar w:fldCharType="begin"/>
      </w:r>
      <w:r>
        <w:instrText xml:space="preserve"> PAGEREF _Toc1882580204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0CBD0568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_Toc1230014383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1.3 AI 介入边界（本系统的设计红线）</w:t>
      </w:r>
      <w:r>
        <w:tab/>
      </w:r>
      <w:r>
        <w:fldChar w:fldCharType="begin"/>
      </w:r>
      <w:r>
        <w:instrText xml:space="preserve"> PAGEREF _Toc1230014383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0F5D1BF6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_Toc1758948347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1.4 核心价值</w:t>
      </w:r>
      <w:r>
        <w:tab/>
      </w:r>
      <w:r>
        <w:fldChar w:fldCharType="begin"/>
      </w:r>
      <w:r>
        <w:instrText xml:space="preserve"> PAGEREF _Toc1758948347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0EC24B14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_Toc1538732373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 数据来源与合法性分析</w:t>
      </w:r>
      <w:r>
        <w:tab/>
      </w:r>
      <w:r>
        <w:fldChar w:fldCharType="begin"/>
      </w:r>
      <w:r>
        <w:instrText xml:space="preserve"> PAGEREF _Toc1538732373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0648C19A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_Toc1133349557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2.1 系统内数据的来源渠道（事实）</w:t>
      </w:r>
      <w:r>
        <w:tab/>
      </w:r>
      <w:r>
        <w:fldChar w:fldCharType="begin"/>
      </w:r>
      <w:r>
        <w:instrText xml:space="preserve"> PAGEREF _Toc1133349557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63A2A4CF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_Toc1017877245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2.2 个人信息与敏感数据处理（现状事实）</w:t>
      </w:r>
      <w:r>
        <w:tab/>
      </w:r>
      <w:r>
        <w:fldChar w:fldCharType="begin"/>
      </w:r>
      <w:r>
        <w:instrText xml:space="preserve"> PAGEREF _Toc1017877245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58CEBC31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_Toc1818865390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2.3 发送给大模型的数据及其合法性边界</w:t>
      </w:r>
      <w:r>
        <w:tab/>
      </w:r>
      <w:r>
        <w:fldChar w:fldCharType="begin"/>
      </w:r>
      <w:r>
        <w:instrText xml:space="preserve"> PAGEREF _Toc1818865390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6DCBF0C1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_Toc534593115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2.4 存储与删除</w:t>
      </w:r>
      <w:r>
        <w:tab/>
      </w:r>
      <w:r>
        <w:fldChar w:fldCharType="begin"/>
      </w:r>
      <w:r>
        <w:instrText xml:space="preserve"> PAGEREF _Toc534593115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5A9437A8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_Toc1803649890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3. 算法可解释性说明</w:t>
      </w:r>
      <w:r>
        <w:tab/>
      </w:r>
      <w:r>
        <w:fldChar w:fldCharType="begin"/>
      </w:r>
      <w:r>
        <w:instrText xml:space="preserve"> PAGEREF _Toc1803649890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60FFD54A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_Toc211010989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3.1 总体立场</w:t>
      </w:r>
      <w:r>
        <w:tab/>
      </w:r>
      <w:r>
        <w:fldChar w:fldCharType="begin"/>
      </w:r>
      <w:r>
        <w:instrText xml:space="preserve"> PAGEREF _Toc211010989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4AE9F44B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_Toc266737527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3.2 第一层：核心业务逻辑与 AI 完全解耦（确定性、可复现）</w:t>
      </w:r>
      <w:r>
        <w:tab/>
      </w:r>
      <w:r>
        <w:fldChar w:fldCharType="begin"/>
      </w:r>
      <w:r>
        <w:instrText xml:space="preserve"> PAGEREF _Toc266737527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4323E6CE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_Toc141986914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3.3 第二层：AI 调用透明化（提示词与调用点公开）</w:t>
      </w:r>
      <w:r>
        <w:tab/>
      </w:r>
      <w:r>
        <w:fldChar w:fldCharType="begin"/>
      </w:r>
      <w:r>
        <w:instrText xml:space="preserve"> PAGEREF _Toc141986914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762BCDDD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_Toc2132504681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3.4 第三层：人对结果的最终解释权（Human-in-the-loop）</w:t>
      </w:r>
      <w:r>
        <w:tab/>
      </w:r>
      <w:r>
        <w:fldChar w:fldCharType="begin"/>
      </w:r>
      <w:r>
        <w:instrText xml:space="preserve"> PAGEREF _Toc2132504681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1EC83AA9">
      <w:pPr>
        <w:pStyle w:val="29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_Toc1087258831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3.5 关于模型本身“不可解释”部分的边界说明</w:t>
      </w:r>
      <w:r>
        <w:tab/>
      </w:r>
      <w:r>
        <w:fldChar w:fldCharType="begin"/>
      </w:r>
      <w:r>
        <w:instrText xml:space="preserve"> PAGEREF _Toc1087258831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1E834B71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_Toc1786184908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4. AI 伦理风险评估</w:t>
      </w:r>
      <w:r>
        <w:tab/>
      </w:r>
      <w:r>
        <w:fldChar w:fldCharType="begin"/>
      </w:r>
      <w:r>
        <w:instrText xml:space="preserve"> PAGEREF _Toc1786184908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4C4F3A9D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_Toc1203298449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5. 合规性声明与建议（一般性提示，非法务意见）</w:t>
      </w:r>
      <w:r>
        <w:tab/>
      </w:r>
      <w:r>
        <w:fldChar w:fldCharType="begin"/>
      </w:r>
      <w:r>
        <w:instrText xml:space="preserve"> PAGEREF _Toc1203298449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320A028B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_Toc493952269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6. 结论</w:t>
      </w:r>
      <w:r>
        <w:tab/>
      </w:r>
      <w:r>
        <w:fldChar w:fldCharType="begin"/>
      </w:r>
      <w:r>
        <w:instrText xml:space="preserve"> PAGEREF _Toc493952269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29541189">
      <w:pPr>
        <w:pStyle w:val="26"/>
        <w:tabs>
          <w:tab w:val="right" w:leader="dot" w:pos="9071"/>
        </w:tabs>
        <w:jc w:val="left"/>
      </w:pP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\l _Toc65852092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/>
        </w:rPr>
        <w:t>附录：AI 相关代码与文档位置（核查索引，v1.3.0）</w:t>
      </w:r>
      <w:r>
        <w:tab/>
      </w:r>
      <w:r>
        <w:fldChar w:fldCharType="begin"/>
      </w:r>
      <w:r>
        <w:instrText xml:space="preserve"> PAGEREF _Toc65852092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  <w:i w:val="0"/>
        </w:rPr>
        <w:fldChar w:fldCharType="end"/>
      </w:r>
    </w:p>
    <w:p w14:paraId="395A91A3">
      <w:pPr>
        <w:jc w:val="left"/>
      </w:pPr>
      <w:r>
        <w:rPr>
          <w:rFonts w:ascii="Times New Roman" w:hAnsi="Times New Roman" w:eastAsia="宋体"/>
          <w:i w:val="0"/>
        </w:rPr>
        <w:fldChar w:fldCharType="end"/>
      </w:r>
    </w:p>
    <w:p w14:paraId="5643EE5E">
      <w:pPr>
        <w:jc w:val="left"/>
      </w:pPr>
      <w:r>
        <w:rPr>
          <w:rFonts w:ascii="Times New Roman" w:hAnsi="Times New Roman" w:eastAsia="宋体"/>
          <w:b w:val="0"/>
          <w:i w:val="0"/>
          <w:color w:val="8A94A6"/>
          <w:sz w:val="18"/>
        </w:rPr>
        <w:t>提示：如文档打开时未自动刷新目录，全选后按 F9 即可；页码以 Word 实际排版为准。</w:t>
      </w:r>
    </w:p>
    <w:p w14:paraId="7E6D8D63">
      <w:pPr>
        <w:jc w:val="left"/>
      </w:pPr>
      <w:r>
        <w:br w:type="page"/>
      </w:r>
    </w:p>
    <w:p w14:paraId="1853DA24">
      <w:pPr>
        <w:pBdr>
          <w:bottom w:val="single" w:color="C9D5E4" w:sz="4" w:space="1"/>
        </w:pBdr>
        <w:spacing w:before="120" w:after="120"/>
        <w:jc w:val="left"/>
      </w:pPr>
    </w:p>
    <w:p w14:paraId="4B27BA4F">
      <w:pPr>
        <w:pStyle w:val="3"/>
        <w:jc w:val="left"/>
      </w:pPr>
      <w:bookmarkStart w:id="0" w:name="_Toc475434052"/>
      <w:r>
        <w:rPr>
          <w:rFonts w:ascii="Times New Roman" w:hAnsi="Times New Roman" w:eastAsia="宋体"/>
          <w:b/>
        </w:rPr>
        <w:t>1. AI 介入环境与核心价值</w:t>
      </w:r>
      <w:bookmarkEnd w:id="0"/>
    </w:p>
    <w:p w14:paraId="7F3B5348">
      <w:pPr>
        <w:pStyle w:val="4"/>
        <w:jc w:val="left"/>
      </w:pPr>
      <w:bookmarkStart w:id="1" w:name="_Toc1698199048"/>
      <w:r>
        <w:rPr>
          <w:rFonts w:ascii="Times New Roman" w:hAnsi="Times New Roman" w:eastAsia="宋体"/>
          <w:b/>
        </w:rPr>
        <w:t>1.1 版本演进（事实）</w:t>
      </w:r>
      <w:bookmarkEnd w:id="1"/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35"/>
      </w:tblGrid>
      <w:tr w14:paraId="4C0E6D07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4535" w:type="dxa"/>
            <w:tcBorders>
              <w:bottom w:val="single" w:color="17407A" w:sz="8" w:space="0"/>
            </w:tcBorders>
            <w:shd w:val="clear" w:color="auto" w:fill="EAF1F9"/>
          </w:tcPr>
          <w:p w14:paraId="4FC26829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w="4535" w:type="dxa"/>
            <w:tcBorders>
              <w:bottom w:val="single" w:color="17407A" w:sz="8" w:space="0"/>
            </w:tcBorders>
            <w:shd w:val="clear" w:color="auto" w:fill="EAF1F9"/>
          </w:tcPr>
          <w:p w14:paraId="429B505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9AB1645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</w:tcPr>
          <w:p w14:paraId="1716DBF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v1.0.1 起</w:t>
            </w:r>
          </w:p>
        </w:tc>
        <w:tc>
          <w:tcPr>
            <w:tcW w:w="4535" w:type="dxa"/>
          </w:tcPr>
          <w:p w14:paraId="2299D7D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分析采用</w:t>
            </w:r>
            <w:r>
              <w:rPr>
                <w:rFonts w:ascii="Times New Roman" w:hAnsi="Times New Roman" w:eastAsia="宋体"/>
                <w:b/>
                <w:sz w:val="18"/>
              </w:rPr>
              <w:t>前端浏览器本地直连大模型</w:t>
            </w:r>
            <w:r>
              <w:rPr>
                <w:rFonts w:ascii="Times New Roman" w:hAnsi="Times New Roman" w:eastAsia="宋体"/>
                <w:b w:val="0"/>
                <w:sz w:val="18"/>
              </w:rPr>
              <w:t>架构并持续至今；早期后端遗留的 AI 存储表（ai_analysis）已随升级脚本移除（见 db/upgrade.sql 注释），现版本后端</w:t>
            </w:r>
            <w:r>
              <w:rPr>
                <w:rFonts w:ascii="Times New Roman" w:hAnsi="Times New Roman" w:eastAsia="宋体"/>
                <w:b/>
                <w:sz w:val="18"/>
              </w:rPr>
              <w:t>不含任何 AI 调用逻辑与 AI 数据存储</w:t>
            </w:r>
          </w:p>
        </w:tc>
      </w:tr>
      <w:tr w14:paraId="17C391C8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  <w:shd w:val="clear" w:color="auto" w:fill="F8FAFD"/>
          </w:tcPr>
          <w:p w14:paraId="7AAABAE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v1.1.0</w:t>
            </w:r>
          </w:p>
        </w:tc>
        <w:tc>
          <w:tcPr>
            <w:tcW w:w="4535" w:type="dxa"/>
            <w:shd w:val="clear" w:color="auto" w:fill="F8FAFD"/>
          </w:tcPr>
          <w:p w14:paraId="794DBA47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“AI 设置”页成型：常用服务商下拉、自定义 OpenAI 兼容地址、模型列表自动拉取</w:t>
            </w:r>
          </w:p>
        </w:tc>
      </w:tr>
      <w:tr w14:paraId="31E74E83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4535" w:type="dxa"/>
          </w:tcPr>
          <w:p w14:paraId="0AA557E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现行 v1.3.0</w:t>
            </w:r>
          </w:p>
        </w:tc>
        <w:tc>
          <w:tcPr>
            <w:tcW w:w="4535" w:type="dxa"/>
          </w:tcPr>
          <w:p w14:paraId="2408834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三个 AI 场景 + 设置/历史管理完整可用，配置与历史均存本机浏览器（详见 frontend/src/utils/ai.js、AI-CONFIG.md）</w:t>
            </w:r>
          </w:p>
        </w:tc>
      </w:tr>
    </w:tbl>
    <w:p w14:paraId="60A7647C">
      <w:pPr>
        <w:pStyle w:val="4"/>
        <w:jc w:val="left"/>
      </w:pPr>
      <w:bookmarkStart w:id="2" w:name="_Toc1882580204"/>
      <w:r>
        <w:rPr>
          <w:rFonts w:ascii="Times New Roman" w:hAnsi="Times New Roman" w:eastAsia="宋体"/>
          <w:b/>
        </w:rPr>
        <w:t>1.2 AI 介入的三个场景与数据流</w:t>
      </w:r>
      <w:bookmarkEnd w:id="2"/>
    </w:p>
    <w:p w14:paraId="6F5736BE">
      <w:pPr>
        <w:ind w:firstLine="440" w:firstLineChars="200"/>
        <w:jc w:val="left"/>
      </w:pPr>
      <w:r>
        <w:rPr>
          <w:rFonts w:ascii="Times New Roman" w:hAnsi="Times New Roman" w:eastAsia="宋体"/>
        </w:rPr>
        <w:t>系统在“管题—练题—分析”闭环的三个</w:t>
      </w:r>
      <w:r>
        <w:rPr>
          <w:rFonts w:ascii="Times New Roman" w:hAnsi="Times New Roman" w:eastAsia="宋体"/>
          <w:b/>
        </w:rPr>
        <w:t>人工工作节点</w:t>
      </w:r>
      <w:r>
        <w:rPr>
          <w:rFonts w:ascii="Times New Roman" w:hAnsi="Times New Roman" w:eastAsia="宋体"/>
        </w:rPr>
        <w:t>提供 AI 辅助，全部由</w:t>
      </w:r>
      <w:r>
        <w:rPr>
          <w:rFonts w:ascii="Times New Roman" w:hAnsi="Times New Roman" w:eastAsia="宋体"/>
          <w:b/>
        </w:rPr>
        <w:t>用户主动点击触发</w:t>
      </w:r>
      <w:r>
        <w:rPr>
          <w:rFonts w:ascii="Times New Roman" w:hAnsi="Times New Roman" w:eastAsia="宋体"/>
        </w:rPr>
        <w:t>：</w:t>
      </w:r>
    </w:p>
    <w:p w14:paraId="448C9D02">
      <w:pPr>
        <w:pStyle w:val="5"/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场景 A：批量导入时的答案/解析补全</w:t>
      </w:r>
      <w:r>
        <w:rPr>
          <w:rFonts w:ascii="Times New Roman" w:hAnsi="Times New Roman" w:eastAsia="宋体"/>
        </w:rPr>
        <w:t>（对应 frontend/src/components/ImportDialog.vue）</w:t>
      </w:r>
    </w:p>
    <w:p w14:paraId="03167D5E">
      <w:pPr>
        <w:numPr>
          <w:ilvl w:val="0"/>
          <w:numId w:val="7"/>
        </w:numPr>
        <w:ind w:left="420" w:leftChars="0" w:hanging="420" w:firstLine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介入环节：批量导入向导第 2 步“预览校验”后。</w:t>
      </w:r>
    </w:p>
    <w:p w14:paraId="37B4D69B">
      <w:pPr>
        <w:numPr>
          <w:ilvl w:val="0"/>
          <w:numId w:val="7"/>
        </w:numPr>
        <w:ind w:left="420" w:leftChars="0" w:hanging="420" w:firstLine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流程：用户勾选缺失答案/解析的行（单次上限 50 行）→ 点击“AI 补全”→ 大模型按结构化要求返回 </w:t>
      </w:r>
      <w:r>
        <w:rPr>
          <w:rFonts w:ascii="Consolas" w:hAnsi="Consolas" w:eastAsia="宋体" w:cs="Consolas"/>
          <w:shd w:val="clear" w:color="auto" w:fill="F1F4F8"/>
        </w:rPr>
        <w:t>{"answer": "...", "analysis": "..."}</w:t>
      </w:r>
      <w:r>
        <w:rPr>
          <w:rFonts w:ascii="Times New Roman" w:hAnsi="Times New Roman" w:eastAsia="宋体"/>
        </w:rPr>
        <w:t xml:space="preserve"> → 结果写入预览表格单元格（</w:t>
      </w:r>
      <w:r>
        <w:rPr>
          <w:rFonts w:ascii="Times New Roman" w:hAnsi="Times New Roman" w:eastAsia="宋体"/>
          <w:b/>
        </w:rPr>
        <w:t>仍可人工逐行修改</w:t>
      </w:r>
      <w:r>
        <w:rPr>
          <w:rFonts w:ascii="Times New Roman" w:hAnsi="Times New Roman" w:eastAsia="宋体"/>
        </w:rPr>
        <w:t>）→ 用户确认后第 3 步入库；未成功的行提示“AI 未能补全: 第 X 行(可手动在库中补充)”。</w:t>
      </w:r>
    </w:p>
    <w:p w14:paraId="49D2ACB6">
      <w:pPr>
        <w:numPr>
          <w:ilvl w:val="0"/>
          <w:numId w:val="7"/>
        </w:numPr>
        <w:ind w:left="420" w:leftChars="0" w:hanging="420" w:firstLineChars="0"/>
        <w:jc w:val="left"/>
      </w:pPr>
      <w:r>
        <w:rPr>
          <w:rFonts w:ascii="Times New Roman" w:hAnsi="Times New Roman" w:eastAsia="宋体"/>
        </w:rPr>
        <w:t>数据流：当前行题目文本（题干/选项/标签）→ 用户配置的服务商；响应仅回填预览，不直接写库。</w:t>
      </w:r>
    </w:p>
    <w:p w14:paraId="63D54786">
      <w:pPr>
        <w:pStyle w:val="5"/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场景 B：单题质量分析</w:t>
      </w:r>
      <w:r>
        <w:rPr>
          <w:rFonts w:ascii="Times New Roman" w:hAnsi="Times New Roman" w:eastAsia="宋体"/>
        </w:rPr>
        <w:t>（frontend/src/views/QuestionsView.vue）</w:t>
      </w:r>
    </w:p>
    <w:p w14:paraId="30887B02">
      <w:pPr>
        <w:numPr>
          <w:ilvl w:val="0"/>
          <w:numId w:val="7"/>
        </w:numPr>
        <w:ind w:left="420" w:leftChars="0" w:hanging="420" w:firstLine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介入环节：题目列表每一行的“AI 分析”按钮。</w:t>
      </w:r>
    </w:p>
    <w:p w14:paraId="1E7C70AB">
      <w:pPr>
        <w:numPr>
          <w:ilvl w:val="0"/>
          <w:numId w:val="7"/>
        </w:numPr>
        <w:ind w:left="420" w:leftChars="0" w:hanging="420" w:firstLineChars="0"/>
        <w:jc w:val="left"/>
      </w:pPr>
      <w:r>
        <w:rPr>
          <w:rFonts w:ascii="Times New Roman" w:hAnsi="Times New Roman" w:eastAsia="宋体"/>
        </w:rPr>
        <w:t>流程：点击后发送该题文本（含参考答案与解析）→ 要求输出四段：①考查知识点 ②难度评估(1-5)及理由 ③表述清晰度与改进建议 ④解题思路提示（</w:t>
      </w:r>
      <w:r>
        <w:rPr>
          <w:rFonts w:ascii="Times New Roman" w:hAnsi="Times New Roman" w:eastAsia="宋体"/>
          <w:b/>
        </w:rPr>
        <w:t>提示词明确要求不直接给出完整答案</w:t>
      </w:r>
      <w:r>
        <w:rPr>
          <w:rFonts w:ascii="Times New Roman" w:hAnsi="Times New Roman" w:eastAsia="宋体"/>
        </w:rPr>
        <w:t>，防刷题作弊）→ 弹窗展示，不写入题目、不修改任何业务数据。</w:t>
      </w:r>
    </w:p>
    <w:p w14:paraId="5E281F45">
      <w:pPr>
        <w:ind w:firstLine="442" w:firstLineChars="20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场景 C：个人学情报告</w:t>
      </w:r>
      <w:r>
        <w:rPr>
          <w:rFonts w:ascii="Times New Roman" w:hAnsi="Times New Roman" w:eastAsia="宋体"/>
        </w:rPr>
        <w:t>（frontend/src/views/DashboardView.vue）</w:t>
      </w:r>
    </w:p>
    <w:p w14:paraId="16F7AFD8">
      <w:pPr>
        <w:numPr>
          <w:ilvl w:val="0"/>
          <w:numId w:val="7"/>
        </w:numPr>
        <w:ind w:left="420" w:leftChars="0" w:hanging="420" w:firstLine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介入环节：统计看板“AI 学情报告”按钮。</w:t>
      </w:r>
    </w:p>
    <w:p w14:paraId="1EC6659F">
      <w:pPr>
        <w:numPr>
          <w:ilvl w:val="0"/>
          <w:numId w:val="7"/>
        </w:numPr>
        <w:ind w:left="420" w:leftChars="0" w:hanging="420" w:firstLineChars="0"/>
        <w:jc w:val="left"/>
      </w:pPr>
      <w:r>
        <w:rPr>
          <w:rFonts w:ascii="Times New Roman" w:hAnsi="Times New Roman" w:eastAsia="宋体"/>
        </w:rPr>
        <w:t>流程：前端将</w:t>
      </w:r>
      <w:r>
        <w:rPr>
          <w:rFonts w:ascii="Times New Roman" w:hAnsi="Times New Roman" w:eastAsia="宋体"/>
          <w:b/>
        </w:rPr>
        <w:t>当前页面统计摘要</w:t>
      </w:r>
      <w:r>
        <w:rPr>
          <w:rFonts w:ascii="Times New Roman" w:hAnsi="Times New Roman" w:eastAsia="宋体"/>
        </w:rPr>
        <w:t>（题目总数/练习次数/错题数/总正确率/错题最多的分类/近两周练习趋势等数字与分类名）组装为提示词 → 要求输出：总体表现评价 / 薄弱知识点分析 / 具体学习建议 / 后续练习计划建议 → 弹窗展示。报告为一次性生成，仅存于本机浏览器本地历史，</w:t>
      </w:r>
      <w:r>
        <w:rPr>
          <w:rFonts w:ascii="Times New Roman" w:hAnsi="Times New Roman" w:eastAsia="宋体"/>
          <w:b/>
        </w:rPr>
        <w:t>后端不落库</w:t>
      </w:r>
      <w:r>
        <w:rPr>
          <w:rFonts w:ascii="Times New Roman" w:hAnsi="Times New Roman" w:eastAsia="宋体"/>
        </w:rPr>
        <w:t>。</w:t>
      </w:r>
    </w:p>
    <w:p w14:paraId="220F9B84">
      <w:pPr>
        <w:pStyle w:val="5"/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</w:rPr>
        <w:t>通用支撑设施</w:t>
      </w:r>
      <w:r>
        <w:rPr>
          <w:rFonts w:ascii="Times New Roman" w:hAnsi="Times New Roman" w:eastAsia="宋体"/>
        </w:rPr>
        <w:t>（frontend/src/utils/ai.js、views/AiSettingsView.vue）</w:t>
      </w:r>
    </w:p>
    <w:p w14:paraId="68B2338B">
      <w:pPr>
        <w:numPr>
          <w:ilvl w:val="0"/>
          <w:numId w:val="7"/>
        </w:numPr>
        <w:ind w:left="420" w:leftChars="0" w:hanging="420" w:firstLine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服务商：内置</w:t>
      </w:r>
      <w:bookmarkStart w:id="20" w:name="_GoBack"/>
      <w:bookmarkEnd w:id="20"/>
      <w:r>
        <w:rPr>
          <w:rFonts w:ascii="Times New Roman" w:hAnsi="Times New Roman" w:eastAsia="宋体"/>
        </w:rPr>
        <w:t xml:space="preserve"> DeepSeek（默认）、OpenAI、阿里云百炼、智谱 GLM、Kimi、硅基流动、Ollama（本地）及“自定义地址”（任意 OpenAI 兼容接口）。</w:t>
      </w:r>
    </w:p>
    <w:p w14:paraId="4BCCBB91">
      <w:pPr>
        <w:numPr>
          <w:ilvl w:val="0"/>
          <w:numId w:val="7"/>
        </w:numPr>
        <w:ind w:left="420" w:leftChars="0" w:hanging="420" w:firstLineChars="0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配置项：接口地址 / API Key / 模型；开发模式经 Vite </w:t>
      </w:r>
      <w:r>
        <w:rPr>
          <w:rFonts w:ascii="Consolas" w:hAnsi="Consolas" w:eastAsia="宋体" w:cs="Consolas"/>
          <w:shd w:val="clear" w:color="auto" w:fill="F1F4F8"/>
        </w:rPr>
        <w:t>/ai-proxy</w:t>
      </w:r>
      <w:r>
        <w:rPr>
          <w:rFonts w:ascii="Times New Roman" w:hAnsi="Times New Roman" w:eastAsia="宋体"/>
        </w:rPr>
        <w:t xml:space="preserve"> 代理（仅默认 DeepSeek 地址生效）；Electron 生产模式直连；支持“测试连接”（仅发送测试串“OK”）。</w:t>
      </w:r>
    </w:p>
    <w:p w14:paraId="64AC3746">
      <w:pPr>
        <w:numPr>
          <w:ilvl w:val="0"/>
          <w:numId w:val="7"/>
        </w:numPr>
        <w:ind w:left="420" w:leftChars="0" w:hanging="420" w:firstLineChars="0"/>
        <w:jc w:val="left"/>
      </w:pPr>
      <w:r>
        <w:rPr>
          <w:rFonts w:ascii="Times New Roman" w:hAnsi="Times New Roman" w:eastAsia="宋体"/>
        </w:rPr>
        <w:t>本地历史：最近 50 条分析/报告记录存 localStorage，可一键清空；未配置 Key 时相关入口引导用户先到“我的 → AI 设置”配置。</w:t>
      </w:r>
    </w:p>
    <w:p w14:paraId="1416EF8E">
      <w:pPr>
        <w:pStyle w:val="4"/>
        <w:jc w:val="left"/>
      </w:pPr>
      <w:bookmarkStart w:id="3" w:name="_Toc1230014383"/>
      <w:r>
        <w:rPr>
          <w:rFonts w:ascii="Times New Roman" w:hAnsi="Times New Roman" w:eastAsia="宋体"/>
          <w:b/>
        </w:rPr>
        <w:t>1.3 AI 介入边界（本系统的设计红线）</w:t>
      </w:r>
      <w:bookmarkEnd w:id="3"/>
    </w:p>
    <w:p w14:paraId="4DEE5E5D">
      <w:pPr>
        <w:numPr>
          <w:ilvl w:val="0"/>
          <w:numId w:val="8"/>
        </w:numPr>
        <w:spacing w:after="40"/>
        <w:jc w:val="left"/>
      </w:pPr>
      <w:r>
        <w:rPr>
          <w:rFonts w:ascii="Times New Roman" w:hAnsi="Times New Roman" w:eastAsia="宋体"/>
          <w:b/>
        </w:rPr>
        <w:t>AI 不参与自动决策</w:t>
      </w:r>
      <w:r>
        <w:rPr>
          <w:rFonts w:ascii="Times New Roman" w:hAnsi="Times New Roman" w:eastAsia="宋体"/>
        </w:rPr>
        <w:t>：判分、权限校验、数据入库、统计计算均为确定性代码；</w:t>
      </w:r>
    </w:p>
    <w:p w14:paraId="745B79A8">
      <w:pPr>
        <w:numPr>
          <w:ilvl w:val="0"/>
          <w:numId w:val="8"/>
        </w:numPr>
        <w:spacing w:after="40"/>
        <w:jc w:val="left"/>
      </w:pPr>
      <w:r>
        <w:rPr>
          <w:rFonts w:ascii="Times New Roman" w:hAnsi="Times New Roman" w:eastAsia="宋体"/>
          <w:b/>
        </w:rPr>
        <w:t>AI 不直接修改业务数据</w:t>
      </w:r>
      <w:r>
        <w:rPr>
          <w:rFonts w:ascii="Times New Roman" w:hAnsi="Times New Roman" w:eastAsia="宋体"/>
        </w:rPr>
        <w:t>：所有 AI 输出先呈现给用户，人工确认后才可能进入预览/草稿流；</w:t>
      </w:r>
    </w:p>
    <w:p w14:paraId="72E3AB16">
      <w:pPr>
        <w:numPr>
          <w:ilvl w:val="0"/>
          <w:numId w:val="8"/>
        </w:numPr>
        <w:spacing w:after="40"/>
        <w:jc w:val="left"/>
      </w:pPr>
      <w:r>
        <w:rPr>
          <w:rFonts w:ascii="Times New Roman" w:hAnsi="Times New Roman" w:eastAsia="宋体"/>
          <w:b/>
        </w:rPr>
        <w:t>AI 不是系统可用性的前提</w:t>
      </w:r>
      <w:r>
        <w:rPr>
          <w:rFonts w:ascii="Times New Roman" w:hAnsi="Times New Roman" w:eastAsia="宋体"/>
        </w:rPr>
        <w:t>：无 API Key 时练习、判分、错题、统计等全部核心功能不受影响；</w:t>
      </w:r>
    </w:p>
    <w:p w14:paraId="7FE6ECF6">
      <w:pPr>
        <w:numPr>
          <w:ilvl w:val="0"/>
          <w:numId w:val="8"/>
        </w:numPr>
        <w:spacing w:after="40"/>
        <w:jc w:val="left"/>
      </w:pPr>
      <w:r>
        <w:rPr>
          <w:rFonts w:ascii="Times New Roman" w:hAnsi="Times New Roman" w:eastAsia="宋体"/>
          <w:b/>
        </w:rPr>
        <w:t>AI 不是数据收集器</w:t>
      </w:r>
      <w:r>
        <w:rPr>
          <w:rFonts w:ascii="Times New Roman" w:hAnsi="Times New Roman" w:eastAsia="宋体"/>
        </w:rPr>
        <w:t>：无隐式/批量/后台调用，无用户行为上报。</w:t>
      </w:r>
    </w:p>
    <w:p w14:paraId="47ECF70A">
      <w:pPr>
        <w:pStyle w:val="4"/>
        <w:jc w:val="left"/>
      </w:pPr>
      <w:bookmarkStart w:id="4" w:name="_Toc1758948347"/>
      <w:r>
        <w:rPr>
          <w:rFonts w:ascii="Times New Roman" w:hAnsi="Times New Roman" w:eastAsia="宋体"/>
          <w:b/>
        </w:rPr>
        <w:t>1.4 核心价值</w:t>
      </w:r>
      <w:bookmarkEnd w:id="4"/>
    </w:p>
    <w:p w14:paraId="3700F6C2">
      <w:pPr>
        <w:pStyle w:val="16"/>
        <w:spacing w:after="40"/>
        <w:jc w:val="left"/>
      </w:pPr>
      <w:r>
        <w:rPr>
          <w:rFonts w:ascii="Times New Roman" w:hAnsi="Times New Roman" w:eastAsia="宋体"/>
        </w:rPr>
        <w:t>对教师：把“补全答案解析、评估题目质量”从人工逐条处理变为批量 AI 草稿 + 人工把关，建库效率数量级提升；</w:t>
      </w:r>
    </w:p>
    <w:p w14:paraId="613034ED">
      <w:pPr>
        <w:pStyle w:val="16"/>
        <w:spacing w:after="40"/>
        <w:jc w:val="left"/>
      </w:pPr>
      <w:r>
        <w:rPr>
          <w:rFonts w:ascii="Times New Roman" w:hAnsi="Times New Roman" w:eastAsia="宋体"/>
        </w:rPr>
        <w:t>对学生：基于本人真实练习数据获得个性化薄弱点分析与学习建议，解决“刷题无反馈”的普遍问题；</w:t>
      </w:r>
    </w:p>
    <w:p w14:paraId="3F2C1E53">
      <w:pPr>
        <w:pStyle w:val="16"/>
        <w:spacing w:after="40"/>
        <w:jc w:val="left"/>
      </w:pPr>
      <w:r>
        <w:rPr>
          <w:rFonts w:ascii="Times New Roman" w:hAnsi="Times New Roman" w:eastAsia="宋体"/>
        </w:rPr>
        <w:t>对部署方：模型与服务商</w:t>
      </w:r>
      <w:r>
        <w:rPr>
          <w:rFonts w:ascii="Times New Roman" w:hAnsi="Times New Roman" w:eastAsia="宋体"/>
          <w:b/>
        </w:rPr>
        <w:t>完全自选</w:t>
      </w:r>
      <w:r>
        <w:rPr>
          <w:rFonts w:ascii="Times New Roman" w:hAnsi="Times New Roman" w:eastAsia="宋体"/>
        </w:rPr>
        <w:t>——合规要求高时可接本地模型，实现“题目数据不出内网”，这是商业题库平台难以提供的 AI 治理能力；</w:t>
      </w:r>
    </w:p>
    <w:p w14:paraId="2F5A9510">
      <w:pPr>
        <w:pStyle w:val="16"/>
        <w:spacing w:after="40"/>
        <w:jc w:val="left"/>
      </w:pPr>
      <w:r>
        <w:rPr>
          <w:rFonts w:ascii="Times New Roman" w:hAnsi="Times New Roman" w:eastAsia="宋体"/>
        </w:rPr>
        <w:t>对项目本身：AI 以“可插拔增强”方式存在，不绑架产品核心，也不引入黑盒风险。</w:t>
      </w:r>
    </w:p>
    <w:p w14:paraId="6925B641">
      <w:pPr>
        <w:pBdr>
          <w:bottom w:val="single" w:color="C9D5E4" w:sz="4" w:space="1"/>
        </w:pBdr>
        <w:spacing w:before="120" w:after="120"/>
        <w:jc w:val="left"/>
      </w:pPr>
    </w:p>
    <w:p w14:paraId="0687EFA2">
      <w:pPr>
        <w:pStyle w:val="3"/>
        <w:jc w:val="left"/>
      </w:pPr>
      <w:bookmarkStart w:id="5" w:name="_Toc1538732373"/>
      <w:r>
        <w:rPr>
          <w:rFonts w:ascii="Times New Roman" w:hAnsi="Times New Roman" w:eastAsia="宋体"/>
          <w:b/>
        </w:rPr>
        <w:t>2. 数据来源与合法性分析</w:t>
      </w:r>
      <w:bookmarkEnd w:id="5"/>
    </w:p>
    <w:p w14:paraId="7405A121">
      <w:pPr>
        <w:pStyle w:val="4"/>
        <w:jc w:val="left"/>
      </w:pPr>
      <w:bookmarkStart w:id="6" w:name="_Toc1133349557"/>
      <w:r>
        <w:rPr>
          <w:rFonts w:ascii="Times New Roman" w:hAnsi="Times New Roman" w:eastAsia="宋体"/>
          <w:b/>
        </w:rPr>
        <w:t>2.1 系统内数据的来源渠道（事实）</w:t>
      </w:r>
      <w:bookmarkEnd w:id="6"/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024"/>
        <w:gridCol w:w="3024"/>
        <w:gridCol w:w="3024"/>
      </w:tblGrid>
      <w:tr w14:paraId="25C037CC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3024" w:type="dxa"/>
            <w:tcBorders>
              <w:bottom w:val="single" w:color="17407A" w:sz="8" w:space="0"/>
            </w:tcBorders>
            <w:shd w:val="clear" w:color="auto" w:fill="EAF1F9"/>
          </w:tcPr>
          <w:p w14:paraId="796800E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渠道</w:t>
            </w:r>
          </w:p>
        </w:tc>
        <w:tc>
          <w:tcPr>
            <w:tcW w:w="3024" w:type="dxa"/>
            <w:tcBorders>
              <w:bottom w:val="single" w:color="17407A" w:sz="8" w:space="0"/>
            </w:tcBorders>
            <w:shd w:val="clear" w:color="auto" w:fill="EAF1F9"/>
          </w:tcPr>
          <w:p w14:paraId="4D271884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w="3024" w:type="dxa"/>
            <w:tcBorders>
              <w:bottom w:val="single" w:color="17407A" w:sz="8" w:space="0"/>
            </w:tcBorders>
            <w:shd w:val="clear" w:color="auto" w:fill="EAF1F9"/>
          </w:tcPr>
          <w:p w14:paraId="411272B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权属与合法性要点</w:t>
            </w:r>
          </w:p>
        </w:tc>
      </w:tr>
      <w:tr w14:paraId="75A5B2E8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</w:tcPr>
          <w:p w14:paraId="33AB8464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用户手工录入</w:t>
            </w:r>
          </w:p>
        </w:tc>
        <w:tc>
          <w:tcPr>
            <w:tcW w:w="3024" w:type="dxa"/>
          </w:tcPr>
          <w:p w14:paraId="69E3449D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在题目管理页逐题创建</w:t>
            </w:r>
          </w:p>
        </w:tc>
        <w:tc>
          <w:tcPr>
            <w:tcW w:w="3024" w:type="dxa"/>
          </w:tcPr>
          <w:p w14:paraId="78B752F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内容由录入者提供并负责</w:t>
            </w:r>
          </w:p>
        </w:tc>
      </w:tr>
      <w:tr w14:paraId="0353FEF9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  <w:shd w:val="clear" w:color="auto" w:fill="F8FAFD"/>
          </w:tcPr>
          <w:p w14:paraId="50CD937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用户批量导入</w:t>
            </w:r>
          </w:p>
        </w:tc>
        <w:tc>
          <w:tcPr>
            <w:tcW w:w="3024" w:type="dxa"/>
            <w:shd w:val="clear" w:color="auto" w:fill="F8FAFD"/>
          </w:tcPr>
          <w:p w14:paraId="1F037D8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Excel(.xlsx)/CSV（UTF-8/GBK）导入自有表格；模板由系统生成、</w:t>
            </w:r>
            <w:r>
              <w:rPr>
                <w:rFonts w:ascii="Times New Roman" w:hAnsi="Times New Roman" w:eastAsia="宋体"/>
                <w:b/>
                <w:sz w:val="18"/>
              </w:rPr>
              <w:t>内容由用户提供</w:t>
            </w:r>
          </w:p>
        </w:tc>
        <w:tc>
          <w:tcPr>
            <w:tcW w:w="3024" w:type="dxa"/>
            <w:shd w:val="clear" w:color="auto" w:fill="F8FAFD"/>
          </w:tcPr>
          <w:p w14:paraId="1FAE03D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上传者须对其持有的内容有合法权利（自编、已获授权、或处于公有领域等）</w:t>
            </w:r>
          </w:p>
        </w:tc>
      </w:tr>
      <w:tr w14:paraId="34224AE2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3024" w:type="dxa"/>
          </w:tcPr>
          <w:p w14:paraId="77C7EEC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共享与拷贝</w:t>
            </w:r>
          </w:p>
        </w:tc>
        <w:tc>
          <w:tcPr>
            <w:tcW w:w="3024" w:type="dxa"/>
          </w:tcPr>
          <w:p w14:paraId="2B8B0FC0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题目/题库在系统用户间共享；拷贝副本记录来源字段（origin_bank_id），订阅可实时跟随</w:t>
            </w:r>
          </w:p>
        </w:tc>
        <w:tc>
          <w:tcPr>
            <w:tcW w:w="3024" w:type="dxa"/>
          </w:tcPr>
          <w:p w14:paraId="3165630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系统内流转，权限模型控制范围（只读/可编辑），可溯源</w:t>
            </w:r>
          </w:p>
        </w:tc>
      </w:tr>
      <w:tr w14:paraId="58849A89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  <w:shd w:val="clear" w:color="auto" w:fill="F8FAFD"/>
          </w:tcPr>
          <w:p w14:paraId="28BDDC97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演示数据</w:t>
            </w:r>
          </w:p>
        </w:tc>
        <w:tc>
          <w:tcPr>
            <w:tcW w:w="3024" w:type="dxa"/>
            <w:shd w:val="clear" w:color="auto" w:fill="F8FAFD"/>
          </w:tcPr>
          <w:p w14:paraId="6CB3DE9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db/init.sql 种子数据（admin/demo 演示账号与示例题目）</w:t>
            </w:r>
          </w:p>
        </w:tc>
        <w:tc>
          <w:tcPr>
            <w:tcW w:w="3024" w:type="dxa"/>
            <w:shd w:val="clear" w:color="auto" w:fill="F8FAFD"/>
          </w:tcPr>
          <w:p w14:paraId="20C4011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团队自行编写，无第三方内容</w:t>
            </w:r>
          </w:p>
        </w:tc>
      </w:tr>
      <w:tr w14:paraId="03511C8F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</w:tcPr>
          <w:p w14:paraId="772E45D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练习行为数据</w:t>
            </w:r>
          </w:p>
        </w:tc>
        <w:tc>
          <w:tcPr>
            <w:tcW w:w="3024" w:type="dxa"/>
          </w:tcPr>
          <w:p w14:paraId="49D6FA8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用户本人的练习/判分/错题/收藏记录</w:t>
            </w:r>
          </w:p>
        </w:tc>
        <w:tc>
          <w:tcPr>
            <w:tcW w:w="3024" w:type="dxa"/>
          </w:tcPr>
          <w:p w14:paraId="54F5B2BB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用户本人操作生成，仅本人与管理员（统计视图）可见</w:t>
            </w:r>
          </w:p>
        </w:tc>
      </w:tr>
    </w:tbl>
    <w:p w14:paraId="11FFAF96">
      <w:pPr>
        <w:ind w:firstLine="440" w:firstLineChars="200"/>
        <w:jc w:val="left"/>
      </w:pPr>
      <w:r>
        <w:rPr>
          <w:rFonts w:ascii="Times New Roman" w:hAnsi="Times New Roman" w:eastAsia="宋体"/>
        </w:rPr>
        <w:t>系统</w:t>
      </w:r>
      <w:r>
        <w:rPr>
          <w:rFonts w:ascii="Times New Roman" w:hAnsi="Times New Roman" w:eastAsia="宋体"/>
          <w:b/>
        </w:rPr>
        <w:t>不内置任何第三方版权题库，不含爬虫采集，无内容市场</w:t>
      </w:r>
      <w:r>
        <w:rPr>
          <w:rFonts w:ascii="Times New Roman" w:hAnsi="Times New Roman" w:eastAsia="宋体"/>
        </w:rPr>
        <w:t>——从架构上规避了版权内容风险，这也是产品的刻意定位。</w:t>
      </w:r>
    </w:p>
    <w:p w14:paraId="15E090F1">
      <w:pPr>
        <w:pStyle w:val="4"/>
        <w:jc w:val="left"/>
      </w:pPr>
      <w:bookmarkStart w:id="7" w:name="_Toc1017877245"/>
      <w:r>
        <w:rPr>
          <w:rFonts w:ascii="Times New Roman" w:hAnsi="Times New Roman" w:eastAsia="宋体"/>
          <w:b/>
        </w:rPr>
        <w:t>2.2 个人信息与敏感数据处理（现状事实）</w:t>
      </w:r>
      <w:bookmarkEnd w:id="7"/>
    </w:p>
    <w:p w14:paraId="19F6E0B3">
      <w:pPr>
        <w:pStyle w:val="16"/>
        <w:spacing w:after="40"/>
        <w:jc w:val="left"/>
      </w:pPr>
      <w:r>
        <w:rPr>
          <w:rFonts w:ascii="Times New Roman" w:hAnsi="Times New Roman" w:eastAsia="宋体"/>
        </w:rPr>
        <w:t>系统采集的用户字段仅为账号类基础信息（用户名/昵称/邮箱/头像/密码哈希），无身份证号、无学号强绑定、无地理位置等敏感信息；教育场景落地时建议进一步最小化（例如允许关闭邮箱必填）【产品待办】。</w:t>
      </w:r>
    </w:p>
    <w:p w14:paraId="69DF6681">
      <w:pPr>
        <w:pStyle w:val="16"/>
        <w:spacing w:after="40"/>
        <w:jc w:val="left"/>
      </w:pPr>
      <w:r>
        <w:rPr>
          <w:rFonts w:ascii="Times New Roman" w:hAnsi="Times New Roman" w:eastAsia="宋体"/>
        </w:rPr>
        <w:t>题目内容中若包含个人信息（如试卷中出现学生姓名），由上传者自行把关；系统文档建议导入前脱敏【使用提示，建议在产品内补充】。</w:t>
      </w:r>
    </w:p>
    <w:p w14:paraId="02099089">
      <w:pPr>
        <w:pStyle w:val="16"/>
        <w:spacing w:after="40"/>
        <w:jc w:val="left"/>
      </w:pPr>
      <w:r>
        <w:rPr>
          <w:rFonts w:ascii="Times New Roman" w:hAnsi="Times New Roman" w:eastAsia="宋体"/>
        </w:rPr>
        <w:t>练习与统计数据的访问控制：数据按用户隔离，管理员可看全站统计；共享仅限用户主动发起且权限可见可撤。</w:t>
      </w:r>
    </w:p>
    <w:p w14:paraId="181E3825">
      <w:pPr>
        <w:pStyle w:val="4"/>
        <w:jc w:val="left"/>
      </w:pPr>
      <w:bookmarkStart w:id="8" w:name="_Toc1818865390"/>
      <w:r>
        <w:rPr>
          <w:rFonts w:ascii="Times New Roman" w:hAnsi="Times New Roman" w:eastAsia="宋体"/>
          <w:b/>
        </w:rPr>
        <w:t>2.3 发送给大模型的数据及其合法性边界</w:t>
      </w:r>
      <w:bookmarkEnd w:id="8"/>
    </w:p>
    <w:p w14:paraId="234BC1BD">
      <w:pPr>
        <w:ind w:firstLine="442" w:firstLineChars="200"/>
        <w:jc w:val="left"/>
      </w:pPr>
      <w:r>
        <w:rPr>
          <w:rFonts w:ascii="Times New Roman" w:hAnsi="Times New Roman" w:eastAsia="宋体"/>
          <w:b/>
        </w:rPr>
        <w:t>发送原则（代码事实）</w:t>
      </w:r>
      <w:r>
        <w:rPr>
          <w:rFonts w:ascii="Times New Roman" w:hAnsi="Times New Roman" w:eastAsia="宋体"/>
        </w:rPr>
        <w:t>：仅在用户点击“补全/分析/报告”时，发送</w:t>
      </w:r>
      <w:r>
        <w:rPr>
          <w:rFonts w:ascii="Times New Roman" w:hAnsi="Times New Roman" w:eastAsia="宋体"/>
          <w:b/>
        </w:rPr>
        <w:t>当次任务所需的最小文本</w:t>
      </w:r>
      <w:r>
        <w:rPr>
          <w:rFonts w:ascii="Times New Roman" w:hAnsi="Times New Roman" w:eastAsia="宋体"/>
        </w:rPr>
        <w:t>：</w:t>
      </w:r>
    </w:p>
    <w:p w14:paraId="5EAF3C01">
      <w:pPr>
        <w:pStyle w:val="16"/>
        <w:spacing w:after="40"/>
        <w:jc w:val="left"/>
      </w:pPr>
      <w:r>
        <w:rPr>
          <w:rFonts w:ascii="Times New Roman" w:hAnsi="Times New Roman" w:eastAsia="宋体"/>
        </w:rPr>
        <w:t>场景 A/B：当前题目文本（题干/选项/标签/参考答案/解析）——均为</w:t>
      </w:r>
      <w:r>
        <w:rPr>
          <w:rFonts w:ascii="Times New Roman" w:hAnsi="Times New Roman" w:eastAsia="宋体"/>
          <w:b/>
        </w:rPr>
        <w:t>该用户自己录入或合法导入、且本人有权限查看的题目</w:t>
      </w:r>
      <w:r>
        <w:rPr>
          <w:rFonts w:ascii="Times New Roman" w:hAnsi="Times New Roman" w:eastAsia="宋体"/>
        </w:rPr>
        <w:t>；</w:t>
      </w:r>
    </w:p>
    <w:p w14:paraId="07CD3783">
      <w:pPr>
        <w:pStyle w:val="16"/>
        <w:spacing w:after="40"/>
        <w:jc w:val="left"/>
      </w:pPr>
      <w:r>
        <w:rPr>
          <w:rFonts w:ascii="Times New Roman" w:hAnsi="Times New Roman" w:eastAsia="宋体"/>
        </w:rPr>
        <w:t>场景 C：数字型统计摘要 + 分类名称，不含用户名、密码、邮箱等账号字段；</w:t>
      </w:r>
    </w:p>
    <w:p w14:paraId="75D10542">
      <w:pPr>
        <w:pStyle w:val="16"/>
        <w:spacing w:after="40"/>
        <w:jc w:val="left"/>
      </w:pPr>
      <w:r>
        <w:rPr>
          <w:rFonts w:ascii="Times New Roman" w:hAnsi="Times New Roman" w:eastAsia="宋体"/>
        </w:rPr>
        <w:t>不发送：数据库凭据、其他用户的数据、API Key（Key 仅用于用户浏览器直连时的请求鉴权，由浏览器直接提交给服务商）。</w:t>
      </w:r>
    </w:p>
    <w:p w14:paraId="368E07E3">
      <w:pPr>
        <w:ind w:firstLine="442" w:firstLineChars="200"/>
        <w:jc w:val="left"/>
      </w:pPr>
      <w:r>
        <w:rPr>
          <w:rFonts w:ascii="Times New Roman" w:hAnsi="Times New Roman" w:eastAsia="宋体"/>
          <w:b/>
        </w:rPr>
        <w:t>合规要点</w:t>
      </w:r>
      <w:r>
        <w:rPr>
          <w:rFonts w:ascii="Times New Roman" w:hAnsi="Times New Roman" w:eastAsia="宋体"/>
        </w:rPr>
        <w:t>：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1. 模型调用发生在</w:t>
      </w:r>
      <w:r>
        <w:rPr>
          <w:rFonts w:ascii="Times New Roman" w:hAnsi="Times New Roman" w:eastAsia="宋体"/>
          <w:b/>
        </w:rPr>
        <w:t>用户浏览器与服务商之间</w:t>
      </w:r>
      <w:r>
        <w:rPr>
          <w:rFonts w:ascii="Times New Roman" w:hAnsi="Times New Roman" w:eastAsia="宋体"/>
        </w:rPr>
        <w:t>，本项目后端不中转、不落盘 AI 请求/响应；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2. 由用户自行注册并遵守其选择的服务商服务条款与数据处理政策；支持境内服务商（DeepSeek、通义、GLM、Kimi 等）与本地模型（Ollama，数据不出本地/内网）；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3. 若部署主体涉及未成年人数据处理，建议按《个人信息保护法》关于未成年人信息的规定取得监护人同意并最小化收集（部署者义务，非本开源工具自动承担）；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4. 正式商用/试点时，建议由部署单位就“数据出境、第三方模型数据处理、用户协议与隐私政策”出具书面评估【占位：法律意见/隐私政策文本】。</w:t>
      </w:r>
    </w:p>
    <w:p w14:paraId="76D508B6">
      <w:pPr>
        <w:pStyle w:val="4"/>
        <w:jc w:val="left"/>
      </w:pPr>
      <w:bookmarkStart w:id="9" w:name="_Toc534593115"/>
      <w:r>
        <w:rPr>
          <w:rFonts w:ascii="Times New Roman" w:hAnsi="Times New Roman" w:eastAsia="宋体"/>
          <w:b/>
        </w:rPr>
        <w:t>2.4 存储与删除</w:t>
      </w:r>
      <w:bookmarkEnd w:id="9"/>
    </w:p>
    <w:p w14:paraId="55A61D07">
      <w:pPr>
        <w:pStyle w:val="16"/>
        <w:spacing w:after="40"/>
        <w:jc w:val="left"/>
      </w:pPr>
      <w:r>
        <w:rPr>
          <w:rFonts w:ascii="Times New Roman" w:hAnsi="Times New Roman" w:eastAsia="宋体"/>
        </w:rPr>
        <w:t>业务数据存储于部署方自己的 MySQL（私有化部署，数据主权归部署者）；</w:t>
      </w:r>
    </w:p>
    <w:p w14:paraId="36C867C6">
      <w:pPr>
        <w:pStyle w:val="16"/>
        <w:spacing w:after="40"/>
        <w:jc w:val="left"/>
      </w:pPr>
      <w:r>
        <w:rPr>
          <w:rFonts w:ascii="Times New Roman" w:hAnsi="Times New Roman" w:eastAsia="宋体"/>
        </w:rPr>
        <w:t>AI 配置与历史仅存用户浏览器 localStorage（最近 50 条），设置页提供一键清空；题目删除/用户删除由系统常规删除流程处理，无 AI 专用留存副本。</w:t>
      </w:r>
    </w:p>
    <w:p w14:paraId="60298890">
      <w:pPr>
        <w:pBdr>
          <w:bottom w:val="single" w:color="C9D5E4" w:sz="4" w:space="1"/>
        </w:pBdr>
        <w:spacing w:before="120" w:after="120"/>
        <w:jc w:val="left"/>
      </w:pPr>
    </w:p>
    <w:p w14:paraId="203A838B">
      <w:pPr>
        <w:pStyle w:val="3"/>
        <w:jc w:val="left"/>
      </w:pPr>
      <w:bookmarkStart w:id="10" w:name="_Toc1803649890"/>
      <w:r>
        <w:rPr>
          <w:rFonts w:ascii="Times New Roman" w:hAnsi="Times New Roman" w:eastAsia="宋体"/>
          <w:b/>
        </w:rPr>
        <w:t>3. 算法可解释性说明</w:t>
      </w:r>
      <w:bookmarkEnd w:id="10"/>
    </w:p>
    <w:p w14:paraId="0ED5D0C1">
      <w:pPr>
        <w:pStyle w:val="4"/>
        <w:jc w:val="left"/>
      </w:pPr>
      <w:bookmarkStart w:id="11" w:name="_Toc211010989"/>
      <w:r>
        <w:rPr>
          <w:rFonts w:ascii="Times New Roman" w:hAnsi="Times New Roman" w:eastAsia="宋体"/>
          <w:b/>
        </w:rPr>
        <w:t>3.1 总体立场</w:t>
      </w:r>
      <w:bookmarkEnd w:id="11"/>
    </w:p>
    <w:p w14:paraId="2731A20F">
      <w:pPr>
        <w:ind w:firstLine="440" w:firstLineChars="200"/>
        <w:jc w:val="left"/>
      </w:pPr>
      <w:r>
        <w:rPr>
          <w:rFonts w:ascii="Times New Roman" w:hAnsi="Times New Roman" w:eastAsia="宋体"/>
        </w:rPr>
        <w:t>本系统</w:t>
      </w:r>
      <w:r>
        <w:rPr>
          <w:rFonts w:ascii="Times New Roman" w:hAnsi="Times New Roman" w:eastAsia="宋体"/>
          <w:b/>
        </w:rPr>
        <w:t>不训练自有模型、不进行黑盒决策</w:t>
      </w:r>
      <w:r>
        <w:rPr>
          <w:rFonts w:ascii="Times New Roman" w:hAnsi="Times New Roman" w:eastAsia="宋体"/>
        </w:rPr>
        <w:t>。AI 的定位是“可审计的辅助内容生成”。系统的可解释性分三层，均可在开源代码中核查：</w:t>
      </w:r>
    </w:p>
    <w:p w14:paraId="3968D28F">
      <w:pPr>
        <w:pStyle w:val="4"/>
        <w:jc w:val="left"/>
      </w:pPr>
      <w:bookmarkStart w:id="12" w:name="_Toc266737527"/>
      <w:r>
        <w:rPr>
          <w:rFonts w:ascii="Times New Roman" w:hAnsi="Times New Roman" w:eastAsia="宋体"/>
          <w:b/>
        </w:rPr>
        <w:t>3.2 第一层：核心业务逻辑与 AI 完全解耦（确定性、可复现）</w:t>
      </w:r>
      <w:bookmarkEnd w:id="12"/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61"/>
        <w:gridCol w:w="4594"/>
        <w:gridCol w:w="2416"/>
      </w:tblGrid>
      <w:tr w14:paraId="26708CCF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3024" w:type="dxa"/>
            <w:tcBorders>
              <w:bottom w:val="single" w:color="17407A" w:sz="8" w:space="0"/>
            </w:tcBorders>
            <w:shd w:val="clear" w:color="auto" w:fill="EAF1F9"/>
          </w:tcPr>
          <w:p w14:paraId="784FB91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业务</w:t>
            </w:r>
          </w:p>
        </w:tc>
        <w:tc>
          <w:tcPr>
            <w:tcW w:w="3024" w:type="dxa"/>
            <w:tcBorders>
              <w:bottom w:val="single" w:color="17407A" w:sz="8" w:space="0"/>
            </w:tcBorders>
            <w:shd w:val="clear" w:color="auto" w:fill="EAF1F9"/>
          </w:tcPr>
          <w:p w14:paraId="24DCA6A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实现（源码可查）</w:t>
            </w:r>
          </w:p>
        </w:tc>
        <w:tc>
          <w:tcPr>
            <w:tcW w:w="3024" w:type="dxa"/>
            <w:tcBorders>
              <w:bottom w:val="single" w:color="17407A" w:sz="8" w:space="0"/>
            </w:tcBorders>
            <w:shd w:val="clear" w:color="auto" w:fill="EAF1F9"/>
          </w:tcPr>
          <w:p w14:paraId="6FC74E2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可解释性</w:t>
            </w:r>
          </w:p>
        </w:tc>
      </w:tr>
      <w:tr w14:paraId="1A7874DD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</w:tcPr>
          <w:p w14:paraId="4BA83217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自动判分</w:t>
            </w:r>
          </w:p>
        </w:tc>
        <w:tc>
          <w:tcPr>
            <w:tcW w:w="3024" w:type="dxa"/>
          </w:tcPr>
          <w:p w14:paraId="20E322D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backend/src/main/java/com/qbank/util/QuestionGrading.java</w:t>
            </w:r>
          </w:p>
        </w:tc>
        <w:tc>
          <w:tcPr>
            <w:tcW w:w="3024" w:type="dxa"/>
          </w:tcPr>
          <w:p w14:paraId="1BBC223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规则明确：单选/多选/判断精确匹配；填空多空以分隔符分隔逐空判定；简答宽松匹配（忽略空白/大小写等）。同输入必同输出，附单元测试</w:t>
            </w:r>
          </w:p>
        </w:tc>
      </w:tr>
      <w:tr w14:paraId="40A3160F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  <w:shd w:val="clear" w:color="auto" w:fill="F8FAFD"/>
          </w:tcPr>
          <w:p w14:paraId="2704F3F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权限与会话</w:t>
            </w:r>
          </w:p>
        </w:tc>
        <w:tc>
          <w:tcPr>
            <w:tcW w:w="3024" w:type="dxa"/>
            <w:shd w:val="clear" w:color="auto" w:fill="F8FAFD"/>
          </w:tcPr>
          <w:p w14:paraId="489B3010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JWT + 服务端白名单（AuthInterceptor、JwtTokenManager）</w:t>
            </w:r>
          </w:p>
        </w:tc>
        <w:tc>
          <w:tcPr>
            <w:tcW w:w="3024" w:type="dxa"/>
            <w:shd w:val="clear" w:color="auto" w:fill="F8FAFD"/>
          </w:tcPr>
          <w:p w14:paraId="4EA96ED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标准算法（HMAC 签名、7 天有效期、登出即失效），行为可预期</w:t>
            </w:r>
          </w:p>
        </w:tc>
      </w:tr>
      <w:tr w14:paraId="7D4B188B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3024" w:type="dxa"/>
          </w:tcPr>
          <w:p w14:paraId="29399C4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统计指标</w:t>
            </w:r>
          </w:p>
        </w:tc>
        <w:tc>
          <w:tcPr>
            <w:tcW w:w="3024" w:type="dxa"/>
          </w:tcPr>
          <w:p w14:paraId="3815C99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StatsService 等</w:t>
            </w:r>
          </w:p>
        </w:tc>
        <w:tc>
          <w:tcPr>
            <w:tcW w:w="3024" w:type="dxa"/>
          </w:tcPr>
          <w:p w14:paraId="2CA7BD0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正确率/趋势/Top5 均由 SQL 聚合计算，口径见接口文档与源码</w:t>
            </w:r>
          </w:p>
        </w:tc>
      </w:tr>
      <w:tr w14:paraId="5D688A6C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3024" w:type="dxa"/>
            <w:shd w:val="clear" w:color="auto" w:fill="F8FAFD"/>
          </w:tcPr>
          <w:p w14:paraId="68D7009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抽题/随机</w:t>
            </w:r>
          </w:p>
        </w:tc>
        <w:tc>
          <w:tcPr>
            <w:tcW w:w="3024" w:type="dxa"/>
            <w:shd w:val="clear" w:color="auto" w:fill="F8FAFD"/>
          </w:tcPr>
          <w:p w14:paraId="40EC7A6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随机模式抽题（避免全表 ORDER BY RAND 的优化实现）</w:t>
            </w:r>
          </w:p>
        </w:tc>
        <w:tc>
          <w:tcPr>
            <w:tcW w:w="3024" w:type="dxa"/>
            <w:shd w:val="clear" w:color="auto" w:fill="F8FAFD"/>
          </w:tcPr>
          <w:p w14:paraId="5D8D686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无个性化隐式排序，仅随机性</w:t>
            </w:r>
          </w:p>
        </w:tc>
      </w:tr>
    </w:tbl>
    <w:p w14:paraId="07F6C3D8">
      <w:pPr>
        <w:pStyle w:val="4"/>
        <w:jc w:val="left"/>
      </w:pPr>
      <w:bookmarkStart w:id="13" w:name="_Toc141986914"/>
      <w:r>
        <w:rPr>
          <w:rFonts w:ascii="Times New Roman" w:hAnsi="Times New Roman" w:eastAsia="宋体"/>
          <w:b/>
        </w:rPr>
        <w:t>3.3 第二层：AI 调用透明化（提示词与调用点公开）</w:t>
      </w:r>
      <w:bookmarkEnd w:id="13"/>
    </w:p>
    <w:p w14:paraId="298EC1A7">
      <w:pPr>
        <w:pStyle w:val="16"/>
        <w:spacing w:after="40"/>
        <w:jc w:val="left"/>
      </w:pPr>
      <w:r>
        <w:rPr>
          <w:rFonts w:ascii="Times New Roman" w:hAnsi="Times New Roman" w:eastAsia="宋体"/>
        </w:rPr>
        <w:t>三个场景的提示词为</w:t>
      </w:r>
      <w:r>
        <w:rPr>
          <w:rFonts w:ascii="Times New Roman" w:hAnsi="Times New Roman" w:eastAsia="宋体"/>
          <w:b/>
        </w:rPr>
        <w:t>固定模板、硬编码于开源仓库</w:t>
      </w:r>
      <w:r>
        <w:rPr>
          <w:rFonts w:ascii="Times New Roman" w:hAnsi="Times New Roman" w:eastAsia="宋体"/>
        </w:rPr>
        <w:t xml:space="preserve">（frontend/src/utils/ai.js 的 </w:t>
      </w:r>
      <w:r>
        <w:rPr>
          <w:rFonts w:ascii="Consolas" w:hAnsi="Consolas" w:eastAsia="宋体" w:cs="Consolas"/>
          <w:shd w:val="clear" w:color="auto" w:fill="F1F4F8"/>
        </w:rPr>
        <w:t>buildQuestionPrompt</w:t>
      </w:r>
      <w:r>
        <w:rPr>
          <w:rFonts w:ascii="Times New Roman" w:hAnsi="Times New Roman" w:eastAsia="宋体"/>
        </w:rPr>
        <w:t>/</w:t>
      </w:r>
      <w:r>
        <w:rPr>
          <w:rFonts w:ascii="Consolas" w:hAnsi="Consolas" w:eastAsia="宋体" w:cs="Consolas"/>
          <w:shd w:val="clear" w:color="auto" w:fill="F1F4F8"/>
        </w:rPr>
        <w:t>buildReportPrompt</w:t>
      </w:r>
      <w:r>
        <w:rPr>
          <w:rFonts w:ascii="Times New Roman" w:hAnsi="Times New Roman" w:eastAsia="宋体"/>
        </w:rPr>
        <w:t xml:space="preserve"> 与 ImportDialog.vue 的补全提示词），输出结构被明确约束（分点编号 / 纯 JSON 对象），审查者可逐字核对“系统向模型提了什么要求”；</w:t>
      </w:r>
    </w:p>
    <w:p w14:paraId="2DE80829">
      <w:pPr>
        <w:pStyle w:val="16"/>
        <w:spacing w:after="40"/>
        <w:jc w:val="left"/>
      </w:pPr>
      <w:r>
        <w:rPr>
          <w:rFonts w:ascii="Times New Roman" w:hAnsi="Times New Roman" w:eastAsia="宋体"/>
        </w:rPr>
        <w:t>模型选择、接口地址、调用时机、失败提示均对用户可见（“AI 设置”页可测试连接并查看历史）；</w:t>
      </w:r>
    </w:p>
    <w:p w14:paraId="58F4441B">
      <w:pPr>
        <w:pStyle w:val="16"/>
        <w:spacing w:after="40"/>
        <w:jc w:val="left"/>
      </w:pPr>
      <w:r>
        <w:rPr>
          <w:rFonts w:ascii="Times New Roman" w:hAnsi="Times New Roman" w:eastAsia="宋体"/>
        </w:rPr>
        <w:t>每次生成记录本地历史（时间、模型、类型），用户可回看或一键清空。</w:t>
      </w:r>
    </w:p>
    <w:p w14:paraId="4D1A552C">
      <w:pPr>
        <w:pStyle w:val="4"/>
        <w:jc w:val="left"/>
      </w:pPr>
      <w:bookmarkStart w:id="14" w:name="_Toc2132504681"/>
      <w:r>
        <w:rPr>
          <w:rFonts w:ascii="Times New Roman" w:hAnsi="Times New Roman" w:eastAsia="宋体"/>
          <w:b/>
        </w:rPr>
        <w:t>3.4 第三层：人对结果的最终解释权（Human-in-the-loop）</w:t>
      </w:r>
      <w:bookmarkEnd w:id="14"/>
    </w:p>
    <w:p w14:paraId="631CE1EC">
      <w:pPr>
        <w:pStyle w:val="16"/>
        <w:spacing w:after="40"/>
        <w:jc w:val="left"/>
      </w:pPr>
      <w:r>
        <w:rPr>
          <w:rFonts w:ascii="Times New Roman" w:hAnsi="Times New Roman" w:eastAsia="宋体"/>
        </w:rPr>
        <w:t>补全结果 → 仅写入可编辑预览 → 人工核对 → 入库；</w:t>
      </w:r>
    </w:p>
    <w:p w14:paraId="3674BBC4">
      <w:pPr>
        <w:pStyle w:val="16"/>
        <w:spacing w:after="40"/>
        <w:jc w:val="left"/>
      </w:pPr>
      <w:r>
        <w:rPr>
          <w:rFonts w:ascii="Times New Roman" w:hAnsi="Times New Roman" w:eastAsia="宋体"/>
        </w:rPr>
        <w:t>质量分析/学情报告 → 仅展示（弹窗/历史），不触发任何业务变更；</w:t>
      </w:r>
    </w:p>
    <w:p w14:paraId="7134D9EB">
      <w:pPr>
        <w:pStyle w:val="16"/>
        <w:spacing w:after="40"/>
        <w:jc w:val="left"/>
      </w:pPr>
      <w:r>
        <w:rPr>
          <w:rFonts w:ascii="Times New Roman" w:hAnsi="Times New Roman" w:eastAsia="宋体"/>
        </w:rPr>
        <w:t>失败兜底 → 明确提示“AI 未能补全…可手动补充”，不静默产生错误数据。</w:t>
      </w:r>
    </w:p>
    <w:p w14:paraId="602A551E">
      <w:pPr>
        <w:pStyle w:val="4"/>
        <w:jc w:val="left"/>
      </w:pPr>
      <w:bookmarkStart w:id="15" w:name="_Toc1087258831"/>
      <w:r>
        <w:rPr>
          <w:rFonts w:ascii="Times New Roman" w:hAnsi="Times New Roman" w:eastAsia="宋体"/>
          <w:b/>
        </w:rPr>
        <w:t>3.5 关于模型本身“不可解释”部分的边界说明</w:t>
      </w:r>
      <w:bookmarkEnd w:id="15"/>
    </w:p>
    <w:p w14:paraId="512F9B4B">
      <w:pPr>
        <w:ind w:firstLine="440" w:firstLineChars="200"/>
        <w:jc w:val="left"/>
      </w:pPr>
      <w:r>
        <w:rPr>
          <w:rFonts w:ascii="Times New Roman" w:hAnsi="Times New Roman" w:eastAsia="宋体"/>
        </w:rPr>
        <w:t>第三方大模型内部推理过程不可解释、输出具有一定随机性，这是当前生成式 AI 的客观技术边界。本系统的应对不是“声称可解释”，而是</w:t>
      </w:r>
      <w:r>
        <w:rPr>
          <w:rFonts w:ascii="Times New Roman" w:hAnsi="Times New Roman" w:eastAsia="宋体"/>
          <w:b/>
        </w:rPr>
        <w:t>结构性规避</w:t>
      </w:r>
      <w:r>
        <w:rPr>
          <w:rFonts w:ascii="Times New Roman" w:hAnsi="Times New Roman" w:eastAsia="宋体"/>
        </w:rPr>
        <w:t>：AI 永远不承担事实判定、评分、权限等需要解释与追责的职能；其输出属于“建议文本”，差异不改变任何业务数据。若未来规划“AI 自动组卷/自动评分”等职能性功能，须另行设计可解释与人工复核机制（见第 5 章）。</w:t>
      </w:r>
    </w:p>
    <w:p w14:paraId="69B9163E">
      <w:pPr>
        <w:pBdr>
          <w:bottom w:val="single" w:color="C9D5E4" w:sz="4" w:space="1"/>
        </w:pBdr>
        <w:spacing w:before="120" w:after="120"/>
        <w:jc w:val="left"/>
      </w:pPr>
    </w:p>
    <w:p w14:paraId="7CA4FD3E">
      <w:pPr>
        <w:pStyle w:val="3"/>
        <w:jc w:val="left"/>
      </w:pPr>
      <w:bookmarkStart w:id="16" w:name="_Toc1786184908"/>
      <w:r>
        <w:rPr>
          <w:rFonts w:ascii="Times New Roman" w:hAnsi="Times New Roman" w:eastAsia="宋体"/>
          <w:b/>
        </w:rPr>
        <w:t>4. AI 伦理风险评估</w:t>
      </w:r>
      <w:bookmarkEnd w:id="16"/>
    </w:p>
    <w:p w14:paraId="271351C9">
      <w:pPr>
        <w:ind w:firstLine="440" w:firstLineChars="200"/>
        <w:jc w:val="left"/>
      </w:pPr>
      <w:r>
        <w:rPr>
          <w:rFonts w:ascii="Times New Roman" w:hAnsi="Times New Roman" w:eastAsia="宋体"/>
        </w:rPr>
        <w:t>评估方法：团队基于产品形态（开源、自托管、教育场景、AI 辅助定位）逐项识别，给出风险等级（低/中/高，为团队主观评估）与缓解措施。</w:t>
      </w:r>
      <w:r>
        <w:rPr>
          <w:rFonts w:ascii="Times New Roman" w:hAnsi="Times New Roman" w:eastAsia="宋体"/>
          <w:b/>
        </w:rPr>
        <w:t>残余风险均需部署方在真实环境中确认。</w:t>
      </w:r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4AE77806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1512" w:type="dxa"/>
            <w:tcBorders>
              <w:bottom w:val="single" w:color="17407A" w:sz="8" w:space="0"/>
            </w:tcBorders>
            <w:shd w:val="clear" w:color="auto" w:fill="EAF1F9"/>
          </w:tcPr>
          <w:p w14:paraId="39472B94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w="1512" w:type="dxa"/>
            <w:tcBorders>
              <w:bottom w:val="single" w:color="17407A" w:sz="8" w:space="0"/>
            </w:tcBorders>
            <w:shd w:val="clear" w:color="auto" w:fill="EAF1F9"/>
          </w:tcPr>
          <w:p w14:paraId="7D7EFD4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风险</w:t>
            </w:r>
          </w:p>
        </w:tc>
        <w:tc>
          <w:tcPr>
            <w:tcW w:w="1512" w:type="dxa"/>
            <w:tcBorders>
              <w:bottom w:val="single" w:color="17407A" w:sz="8" w:space="0"/>
            </w:tcBorders>
            <w:shd w:val="clear" w:color="auto" w:fill="EAF1F9"/>
          </w:tcPr>
          <w:p w14:paraId="0DC498F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等级</w:t>
            </w:r>
          </w:p>
        </w:tc>
        <w:tc>
          <w:tcPr>
            <w:tcW w:w="1512" w:type="dxa"/>
            <w:tcBorders>
              <w:bottom w:val="single" w:color="17407A" w:sz="8" w:space="0"/>
            </w:tcBorders>
            <w:shd w:val="clear" w:color="auto" w:fill="EAF1F9"/>
          </w:tcPr>
          <w:p w14:paraId="324AC6C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风险说明</w:t>
            </w:r>
          </w:p>
        </w:tc>
        <w:tc>
          <w:tcPr>
            <w:tcW w:w="1512" w:type="dxa"/>
            <w:tcBorders>
              <w:bottom w:val="single" w:color="17407A" w:sz="8" w:space="0"/>
            </w:tcBorders>
            <w:shd w:val="clear" w:color="auto" w:fill="EAF1F9"/>
          </w:tcPr>
          <w:p w14:paraId="76DEAEE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现有缓解（代码/产品事实）</w:t>
            </w:r>
          </w:p>
        </w:tc>
        <w:tc>
          <w:tcPr>
            <w:tcW w:w="1512" w:type="dxa"/>
            <w:tcBorders>
              <w:bottom w:val="single" w:color="17407A" w:sz="8" w:space="0"/>
            </w:tcBorders>
            <w:shd w:val="clear" w:color="auto" w:fill="EAF1F9"/>
          </w:tcPr>
          <w:p w14:paraId="3942EB9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残余风险与建议</w:t>
            </w:r>
          </w:p>
        </w:tc>
      </w:tr>
      <w:tr w14:paraId="61E4B6E2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512" w:type="dxa"/>
          </w:tcPr>
          <w:p w14:paraId="1B3A3A2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R1</w:t>
            </w:r>
          </w:p>
        </w:tc>
        <w:tc>
          <w:tcPr>
            <w:tcW w:w="1512" w:type="dxa"/>
          </w:tcPr>
          <w:p w14:paraId="7314C8B9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内容幻觉与错误</w:t>
            </w:r>
          </w:p>
        </w:tc>
        <w:tc>
          <w:tcPr>
            <w:tcW w:w="1512" w:type="dxa"/>
          </w:tcPr>
          <w:p w14:paraId="445DDBF2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w="1512" w:type="dxa"/>
          </w:tcPr>
          <w:p w14:paraId="58BC708B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大模型可能生成错误答案/解析或错误学情判断，教育场景有误导可能</w:t>
            </w:r>
          </w:p>
        </w:tc>
        <w:tc>
          <w:tcPr>
            <w:tcW w:w="1512" w:type="dxa"/>
          </w:tcPr>
          <w:p w14:paraId="31B3C5A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补全仅进预览且可人工编辑、失败行显式提示；质量分析提示“不要直接给出完整答案”；AI 不参与判分；判分为确定性规则</w:t>
            </w:r>
          </w:p>
        </w:tc>
        <w:tc>
          <w:tcPr>
            <w:tcW w:w="1512" w:type="dxa"/>
          </w:tcPr>
          <w:p w14:paraId="25C5FC54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建议仍需使用者复核。建议：正式场景发布“AI 结果仅供参考、以教师核定为准”的界面提示【产品待办】</w:t>
            </w:r>
          </w:p>
        </w:tc>
      </w:tr>
      <w:tr w14:paraId="72BC16EA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512" w:type="dxa"/>
            <w:shd w:val="clear" w:color="auto" w:fill="F8FAFD"/>
          </w:tcPr>
          <w:p w14:paraId="021338B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R2</w:t>
            </w:r>
          </w:p>
        </w:tc>
        <w:tc>
          <w:tcPr>
            <w:tcW w:w="1512" w:type="dxa"/>
            <w:shd w:val="clear" w:color="auto" w:fill="F8FAFD"/>
          </w:tcPr>
          <w:p w14:paraId="5FAE679B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隐私与密钥安全</w:t>
            </w:r>
          </w:p>
        </w:tc>
        <w:tc>
          <w:tcPr>
            <w:tcW w:w="1512" w:type="dxa"/>
            <w:shd w:val="clear" w:color="auto" w:fill="F8FAFD"/>
          </w:tcPr>
          <w:p w14:paraId="67175BB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w="1512" w:type="dxa"/>
            <w:shd w:val="clear" w:color="auto" w:fill="F8FAFD"/>
          </w:tcPr>
          <w:p w14:paraId="619878F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API Key 存 localStorage 存在本机泄露面；题目文本可能含个人信息并被发送至第三方</w:t>
            </w:r>
          </w:p>
        </w:tc>
        <w:tc>
          <w:tcPr>
            <w:tcW w:w="1512" w:type="dxa"/>
            <w:shd w:val="clear" w:color="auto" w:fill="F8FAFD"/>
          </w:tcPr>
          <w:p w14:paraId="41CB6E3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Key 不经本项目服务器；仅用户触发时发送最小化内容；支持本地模型；历史可一键清空</w:t>
            </w:r>
          </w:p>
        </w:tc>
        <w:tc>
          <w:tcPr>
            <w:tcW w:w="1512" w:type="dxa"/>
            <w:shd w:val="clear" w:color="auto" w:fill="F8FAFD"/>
          </w:tcPr>
          <w:p w14:paraId="50FC19C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公共电脑使用后应清理；Key 泄露风险由服务商侧管理。建议：文档增加风险提示、提供“使用后清理”指引【文档待办】</w:t>
            </w:r>
          </w:p>
        </w:tc>
      </w:tr>
      <w:tr w14:paraId="0F889EB3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1512" w:type="dxa"/>
          </w:tcPr>
          <w:p w14:paraId="00A3B6B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R3</w:t>
            </w:r>
          </w:p>
        </w:tc>
        <w:tc>
          <w:tcPr>
            <w:tcW w:w="1512" w:type="dxa"/>
          </w:tcPr>
          <w:p w14:paraId="2CD3ADE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偏见与公平</w:t>
            </w:r>
          </w:p>
        </w:tc>
        <w:tc>
          <w:tcPr>
            <w:tcW w:w="1512" w:type="dxa"/>
          </w:tcPr>
          <w:p w14:paraId="3D42CDD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w="1512" w:type="dxa"/>
          </w:tcPr>
          <w:p w14:paraId="2F99956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模型建议可能存在偏见</w:t>
            </w:r>
          </w:p>
        </w:tc>
        <w:tc>
          <w:tcPr>
            <w:tcW w:w="1512" w:type="dxa"/>
          </w:tcPr>
          <w:p w14:paraId="06A46DB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不产生评价性结论（不评分、不排名、不筛选），学情报告仅建议性文字且基于用户本人数据</w:t>
            </w:r>
          </w:p>
        </w:tc>
        <w:tc>
          <w:tcPr>
            <w:tcW w:w="1512" w:type="dxa"/>
          </w:tcPr>
          <w:p w14:paraId="38738DEB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若用于班级横向比较需人工判断；报告无横向对比功能</w:t>
            </w:r>
          </w:p>
        </w:tc>
      </w:tr>
      <w:tr w14:paraId="402EEDF4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512" w:type="dxa"/>
            <w:shd w:val="clear" w:color="auto" w:fill="F8FAFD"/>
          </w:tcPr>
          <w:p w14:paraId="5DF8B69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R4</w:t>
            </w:r>
          </w:p>
        </w:tc>
        <w:tc>
          <w:tcPr>
            <w:tcW w:w="1512" w:type="dxa"/>
            <w:shd w:val="clear" w:color="auto" w:fill="F8FAFD"/>
          </w:tcPr>
          <w:p w14:paraId="17C265C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过度依赖与学术诚信</w:t>
            </w:r>
          </w:p>
        </w:tc>
        <w:tc>
          <w:tcPr>
            <w:tcW w:w="1512" w:type="dxa"/>
            <w:shd w:val="clear" w:color="auto" w:fill="F8FAFD"/>
          </w:tcPr>
          <w:p w14:paraId="42D062F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w="1512" w:type="dxa"/>
            <w:shd w:val="clear" w:color="auto" w:fill="F8FAFD"/>
          </w:tcPr>
          <w:p w14:paraId="26854ED4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学生可能依赖 AI 补全答案跳过思考；练习时作弊</w:t>
            </w:r>
          </w:p>
        </w:tc>
        <w:tc>
          <w:tcPr>
            <w:tcW w:w="1512" w:type="dxa"/>
            <w:shd w:val="clear" w:color="auto" w:fill="F8FAFD"/>
          </w:tcPr>
          <w:p w14:paraId="5505E482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练习过程不显示答案（防作弊设计）；质量分析提示词禁止给出完整答案；补全发生在教师导入环节而非学生练习环节</w:t>
            </w:r>
          </w:p>
        </w:tc>
        <w:tc>
          <w:tcPr>
            <w:tcW w:w="1512" w:type="dxa"/>
            <w:shd w:val="clear" w:color="auto" w:fill="F8FAFD"/>
          </w:tcPr>
          <w:p w14:paraId="397F533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学生自带 Key 也能分析单题——属通用大模型能力，无法在工具层完全禁止；建议使用场景由教师/家长管理</w:t>
            </w:r>
          </w:p>
        </w:tc>
      </w:tr>
      <w:tr w14:paraId="28BCE4D0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512" w:type="dxa"/>
          </w:tcPr>
          <w:p w14:paraId="7983ADD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R5</w:t>
            </w:r>
          </w:p>
        </w:tc>
        <w:tc>
          <w:tcPr>
            <w:tcW w:w="1512" w:type="dxa"/>
          </w:tcPr>
          <w:p w14:paraId="37C2F52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第三方服务商依赖与数据出境</w:t>
            </w:r>
          </w:p>
        </w:tc>
        <w:tc>
          <w:tcPr>
            <w:tcW w:w="1512" w:type="dxa"/>
          </w:tcPr>
          <w:p w14:paraId="368EB630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w="1512" w:type="dxa"/>
          </w:tcPr>
          <w:p w14:paraId="0A9553A2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模型能力、可用性、数据处理政策取决于用户所选自第三方；境外服务商可能涉及数据出境</w:t>
            </w:r>
          </w:p>
        </w:tc>
        <w:tc>
          <w:tcPr>
            <w:tcW w:w="1512" w:type="dxa"/>
          </w:tcPr>
          <w:p w14:paraId="46C9FC6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多服务商可选、架构无绑定；本地 Ollama 支持实现数据不出内网；境内服务商为默认</w:t>
            </w:r>
          </w:p>
        </w:tc>
        <w:tc>
          <w:tcPr>
            <w:tcW w:w="1512" w:type="dxa"/>
          </w:tcPr>
          <w:p w14:paraId="277F47E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出境/合规判断属部署主体责任【建议正式部署前出具专项意见】</w:t>
            </w:r>
          </w:p>
        </w:tc>
      </w:tr>
      <w:tr w14:paraId="1DC8D555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512" w:type="dxa"/>
            <w:shd w:val="clear" w:color="auto" w:fill="F8FAFD"/>
          </w:tcPr>
          <w:p w14:paraId="583555D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R6</w:t>
            </w:r>
          </w:p>
        </w:tc>
        <w:tc>
          <w:tcPr>
            <w:tcW w:w="1512" w:type="dxa"/>
            <w:shd w:val="clear" w:color="auto" w:fill="F8FAFD"/>
          </w:tcPr>
          <w:p w14:paraId="689506F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提示注入与恶意内容</w:t>
            </w:r>
          </w:p>
        </w:tc>
        <w:tc>
          <w:tcPr>
            <w:tcW w:w="1512" w:type="dxa"/>
            <w:shd w:val="clear" w:color="auto" w:fill="F8FAFD"/>
          </w:tcPr>
          <w:p w14:paraId="56920E47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w="1512" w:type="dxa"/>
            <w:shd w:val="clear" w:color="auto" w:fill="F8FAFD"/>
          </w:tcPr>
          <w:p w14:paraId="2FE5600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题目文本作为提示词一部分，极端情况下可构造恶意输入影响输出</w:t>
            </w:r>
          </w:p>
        </w:tc>
        <w:tc>
          <w:tcPr>
            <w:tcW w:w="1512" w:type="dxa"/>
            <w:shd w:val="clear" w:color="auto" w:fill="F8FAFD"/>
          </w:tcPr>
          <w:p w14:paraId="1DA95BA7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输出被限制为文本展示或需人工确认的预览，不执行、不写库、无插件机制；系统内无代码执行面</w:t>
            </w:r>
          </w:p>
        </w:tc>
        <w:tc>
          <w:tcPr>
            <w:tcW w:w="1512" w:type="dxa"/>
            <w:shd w:val="clear" w:color="auto" w:fill="F8FAFD"/>
          </w:tcPr>
          <w:p w14:paraId="4B125F7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内容审核责任在部署方；建议共享题目时启用人工审核（规划）</w:t>
            </w:r>
          </w:p>
        </w:tc>
      </w:tr>
      <w:tr w14:paraId="3AD993F0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1512" w:type="dxa"/>
          </w:tcPr>
          <w:p w14:paraId="65632FB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R7</w:t>
            </w:r>
          </w:p>
        </w:tc>
        <w:tc>
          <w:tcPr>
            <w:tcW w:w="1512" w:type="dxa"/>
          </w:tcPr>
          <w:p w14:paraId="31C88031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责任边界不清</w:t>
            </w:r>
          </w:p>
        </w:tc>
        <w:tc>
          <w:tcPr>
            <w:tcW w:w="1512" w:type="dxa"/>
          </w:tcPr>
          <w:p w14:paraId="43F93CE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w="1512" w:type="dxa"/>
          </w:tcPr>
          <w:p w14:paraId="1AD3EC1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建议引发后果时责任归属可能模糊</w:t>
            </w:r>
          </w:p>
        </w:tc>
        <w:tc>
          <w:tcPr>
            <w:tcW w:w="1512" w:type="dxa"/>
          </w:tcPr>
          <w:p w14:paraId="32DE72A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产品层：AI 不决策、人工确认链完整、开源可审计；文档层：明确“AI 输出为建议”</w:t>
            </w:r>
          </w:p>
        </w:tc>
        <w:tc>
          <w:tcPr>
            <w:tcW w:w="1512" w:type="dxa"/>
          </w:tcPr>
          <w:p w14:paraId="7A5C8BF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部署/商用前需用户协议与免责条款【占位】</w:t>
            </w:r>
          </w:p>
        </w:tc>
      </w:tr>
      <w:tr w14:paraId="3CE45E4D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1512" w:type="dxa"/>
            <w:shd w:val="clear" w:color="auto" w:fill="F8FAFD"/>
          </w:tcPr>
          <w:p w14:paraId="2684CFC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R8</w:t>
            </w:r>
          </w:p>
        </w:tc>
        <w:tc>
          <w:tcPr>
            <w:tcW w:w="1512" w:type="dxa"/>
            <w:shd w:val="clear" w:color="auto" w:fill="F8FAFD"/>
          </w:tcPr>
          <w:p w14:paraId="53400E2D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未成年人保护</w:t>
            </w:r>
          </w:p>
        </w:tc>
        <w:tc>
          <w:tcPr>
            <w:tcW w:w="1512" w:type="dxa"/>
            <w:shd w:val="clear" w:color="auto" w:fill="F8FAFD"/>
          </w:tcPr>
          <w:p w14:paraId="62B78AF4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w="1512" w:type="dxa"/>
            <w:shd w:val="clear" w:color="auto" w:fill="F8FAFD"/>
          </w:tcPr>
          <w:p w14:paraId="5B3FB42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若面向中小学，涉及未成年人数据与内容适宜性</w:t>
            </w:r>
          </w:p>
        </w:tc>
        <w:tc>
          <w:tcPr>
            <w:tcW w:w="1512" w:type="dxa"/>
            <w:shd w:val="clear" w:color="auto" w:fill="F8FAFD"/>
          </w:tcPr>
          <w:p w14:paraId="4BCC3EF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系统默认面向可自主操作的成年用户/高校场景；数据字段最小化；无社交化功能</w:t>
            </w:r>
          </w:p>
        </w:tc>
        <w:tc>
          <w:tcPr>
            <w:tcW w:w="1512" w:type="dxa"/>
            <w:shd w:val="clear" w:color="auto" w:fill="F8FAFD"/>
          </w:tcPr>
          <w:p w14:paraId="54B719F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中小学部署需监护人同意机制与内容审核流程（部署方义务）【评估占位】</w:t>
            </w:r>
          </w:p>
        </w:tc>
      </w:tr>
    </w:tbl>
    <w:p w14:paraId="47432C71">
      <w:pPr>
        <w:ind w:firstLine="442" w:firstLineChars="200"/>
        <w:jc w:val="left"/>
      </w:pPr>
      <w:r>
        <w:rPr>
          <w:rFonts w:ascii="Times New Roman" w:hAnsi="Times New Roman" w:eastAsia="宋体"/>
          <w:b/>
        </w:rPr>
        <w:t>风险小结</w:t>
      </w:r>
      <w:r>
        <w:rPr>
          <w:rFonts w:ascii="Times New Roman" w:hAnsi="Times New Roman" w:eastAsia="宋体"/>
        </w:rPr>
        <w:t>：本系统 AI 介入被刻意设计为“低权限、弱职能、人工兜底”，因此高等级自动决策类伦理风险（自动评分、自动淘汰、生成内容直发学生等）在架构上不存在；中等级风险集中在内容质量（R1）与第三方数据合规（R2/R5），通过“人工确认 + 服务商自选 + 本地模型选项”缓解，残余风险由使用方按场景确认。</w:t>
      </w:r>
    </w:p>
    <w:p w14:paraId="2C8645EB">
      <w:pPr>
        <w:pBdr>
          <w:bottom w:val="single" w:color="C9D5E4" w:sz="4" w:space="1"/>
        </w:pBdr>
        <w:spacing w:before="120" w:after="120"/>
        <w:jc w:val="left"/>
      </w:pPr>
    </w:p>
    <w:p w14:paraId="05D73C1C">
      <w:pPr>
        <w:pStyle w:val="3"/>
        <w:jc w:val="left"/>
      </w:pPr>
      <w:bookmarkStart w:id="17" w:name="_Toc1203298449"/>
      <w:r>
        <w:rPr>
          <w:rFonts w:ascii="Times New Roman" w:hAnsi="Times New Roman" w:eastAsia="宋体"/>
          <w:b/>
        </w:rPr>
        <w:t>5. 合规性声明与建议（一般性提示，非法务意见）</w:t>
      </w:r>
      <w:bookmarkEnd w:id="17"/>
    </w:p>
    <w:p w14:paraId="0BB02E6F">
      <w:pPr>
        <w:numPr>
          <w:ilvl w:val="0"/>
          <w:numId w:val="9"/>
        </w:numPr>
        <w:spacing w:after="40"/>
        <w:jc w:val="left"/>
      </w:pPr>
      <w:r>
        <w:rPr>
          <w:rFonts w:ascii="Times New Roman" w:hAnsi="Times New Roman" w:eastAsia="宋体"/>
        </w:rPr>
        <w:t>当前形态：本开源项目是</w:t>
      </w:r>
      <w:r>
        <w:rPr>
          <w:rFonts w:ascii="Times New Roman" w:hAnsi="Times New Roman" w:eastAsia="宋体"/>
          <w:b/>
        </w:rPr>
        <w:t>通用软件工具</w:t>
      </w:r>
      <w:r>
        <w:rPr>
          <w:rFonts w:ascii="Times New Roman" w:hAnsi="Times New Roman" w:eastAsia="宋体"/>
        </w:rPr>
        <w:t>，向部署者提供接入第三方大模型接口的客户端能力，本身不运营模型、不向公众直接提供生成式 AI 服务、不存储 AI 对话。因此不构成《生成式人工智能服务管理暂行办法》意义上的“面向境内公众提供生成式 AI 服务”的提供者——但该判断需结合最终运营形态确认。</w:t>
      </w:r>
    </w:p>
    <w:p w14:paraId="37189E3E">
      <w:pPr>
        <w:numPr>
          <w:ilvl w:val="0"/>
          <w:numId w:val="9"/>
        </w:numPr>
        <w:spacing w:after="40"/>
        <w:jc w:val="left"/>
      </w:pPr>
      <w:r>
        <w:rPr>
          <w:rFonts w:ascii="Times New Roman" w:hAnsi="Times New Roman" w:eastAsia="宋体"/>
        </w:rPr>
        <w:t>若未来团队以 SaaS 形态对外运营（内置模型服务、面向公众开放），将触发生成式 AI 服务的安全评估、备案（含算法备案如涉及）等义务，须在运营前完成【占位：专项合规工作项】。</w:t>
      </w:r>
    </w:p>
    <w:p w14:paraId="1E56C553">
      <w:pPr>
        <w:numPr>
          <w:ilvl w:val="0"/>
          <w:numId w:val="9"/>
        </w:numPr>
        <w:spacing w:after="40"/>
        <w:jc w:val="left"/>
      </w:pPr>
      <w:r>
        <w:rPr>
          <w:rFonts w:ascii="Times New Roman" w:hAnsi="Times New Roman" w:eastAsia="宋体"/>
        </w:rPr>
        <w:t>个人信息：《个人信息保护法》《数据安全法》要求处理个人信息须有合法依据并采取安全措施；教育场景涉及未成年人信息时适用更严格规则。开源工具本身不自动履行部署者的合规义务，建议部署单位完善隐私政策、用户协议与数据安全管理制度【占位】。</w:t>
      </w:r>
    </w:p>
    <w:p w14:paraId="1866D441">
      <w:pPr>
        <w:numPr>
          <w:ilvl w:val="0"/>
          <w:numId w:val="9"/>
        </w:numPr>
        <w:spacing w:after="40"/>
        <w:jc w:val="left"/>
      </w:pPr>
      <w:r>
        <w:rPr>
          <w:rFonts w:ascii="Times New Roman" w:hAnsi="Times New Roman" w:eastAsia="宋体"/>
        </w:rPr>
        <w:t>数据出境：若选用境外模型服务商并传输境内个人信息/重要数据，需按数据出境相关法规评估（默认推荐境内服务商与本地模型可规避）。</w:t>
      </w:r>
    </w:p>
    <w:p w14:paraId="469B3208">
      <w:pPr>
        <w:numPr>
          <w:ilvl w:val="0"/>
          <w:numId w:val="9"/>
        </w:numPr>
        <w:spacing w:after="40"/>
        <w:jc w:val="left"/>
      </w:pPr>
      <w:r>
        <w:rPr>
          <w:rFonts w:ascii="Times New Roman" w:hAnsi="Times New Roman" w:eastAsia="宋体"/>
        </w:rPr>
        <w:t>建议在正式申报、试点或商用前，由团队咨询学校法务或专业机构并留存书面意见【占位】。</w:t>
      </w:r>
    </w:p>
    <w:p w14:paraId="507DF91B">
      <w:pPr>
        <w:pBdr>
          <w:bottom w:val="single" w:color="C9D5E4" w:sz="4" w:space="1"/>
        </w:pBdr>
        <w:spacing w:before="120" w:after="120"/>
        <w:jc w:val="left"/>
      </w:pPr>
    </w:p>
    <w:p w14:paraId="30058E91">
      <w:pPr>
        <w:pStyle w:val="3"/>
        <w:jc w:val="left"/>
      </w:pPr>
      <w:bookmarkStart w:id="18" w:name="_Toc493952269"/>
      <w:r>
        <w:rPr>
          <w:rFonts w:ascii="Times New Roman" w:hAnsi="Times New Roman" w:eastAsia="宋体"/>
          <w:b/>
        </w:rPr>
        <w:t>6. 结论</w:t>
      </w:r>
      <w:bookmarkEnd w:id="18"/>
    </w:p>
    <w:p w14:paraId="7AA20B59">
      <w:pPr>
        <w:ind w:firstLine="440" w:firstLineChars="200"/>
        <w:jc w:val="left"/>
      </w:pPr>
      <w:r>
        <w:rPr>
          <w:rFonts w:ascii="Times New Roman" w:hAnsi="Times New Roman" w:eastAsia="宋体"/>
        </w:rPr>
        <w:t>本系统以“前端本地直连、Key 用户自持、输出人工确认、AI 不决策”四原则接入大模型，在获得建库效率与个性化反馈价值的同时，将 AI 相关数据、隐私、可解释与伦理风险控制在可审计、可规避的范围。AI 是增强而非核心，核心闭环（管题—练习—判分—统计）完全脱离 AI 亦可运行，符合教育场景对稳定与可解释的底线要求。</w:t>
      </w:r>
    </w:p>
    <w:p w14:paraId="3937580B">
      <w:pPr>
        <w:pBdr>
          <w:bottom w:val="single" w:color="C9D5E4" w:sz="4" w:space="1"/>
        </w:pBdr>
        <w:spacing w:before="120" w:after="120"/>
        <w:jc w:val="left"/>
      </w:pPr>
    </w:p>
    <w:p w14:paraId="09D8C80B">
      <w:pPr>
        <w:pStyle w:val="3"/>
        <w:jc w:val="left"/>
      </w:pPr>
      <w:bookmarkStart w:id="19" w:name="_Toc65852092"/>
      <w:r>
        <w:rPr>
          <w:rFonts w:ascii="Times New Roman" w:hAnsi="Times New Roman" w:eastAsia="宋体"/>
          <w:b/>
        </w:rPr>
        <w:t>附录：AI 相关代码与文档位置（核查索引，v1.3.0）</w:t>
      </w:r>
      <w:bookmarkEnd w:id="19"/>
    </w:p>
    <w:tbl>
      <w:tblPr>
        <w:tblStyle w:val="35"/>
        <w:tblW w:w="0" w:type="auto"/>
        <w:jc w:val="center"/>
        <w:tblBorders>
          <w:top w:val="single" w:color="17407A" w:sz="12" w:space="0"/>
          <w:left w:val="none" w:color="FFFFFF" w:sz="0" w:space="0"/>
          <w:bottom w:val="single" w:color="17407A" w:sz="12" w:space="0"/>
          <w:right w:val="none" w:color="FFFFFF" w:sz="0" w:space="0"/>
          <w:insideH w:val="single" w:color="C9D5E4" w:sz="4" w:space="0"/>
          <w:insideV w:val="none" w:color="FFFFFF" w:sz="0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5"/>
        <w:gridCol w:w="4594"/>
      </w:tblGrid>
      <w:tr w14:paraId="6927B026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  <w:jc w:val="center"/>
        </w:trPr>
        <w:tc>
          <w:tcPr>
            <w:tcW w:w="4535" w:type="dxa"/>
            <w:tcBorders>
              <w:bottom w:val="single" w:color="17407A" w:sz="8" w:space="0"/>
            </w:tcBorders>
            <w:shd w:val="clear" w:color="auto" w:fill="EAF1F9"/>
          </w:tcPr>
          <w:p w14:paraId="4C5ECF1D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w="4535" w:type="dxa"/>
            <w:tcBorders>
              <w:bottom w:val="single" w:color="17407A" w:sz="8" w:space="0"/>
            </w:tcBorders>
            <w:shd w:val="clear" w:color="auto" w:fill="EAF1F9"/>
          </w:tcPr>
          <w:p w14:paraId="22A2C49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</w:tr>
      <w:tr w14:paraId="31C79057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</w:tcPr>
          <w:p w14:paraId="4C6F6820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客户端/服务商列表/配置存储/提示词构建/本地历史</w:t>
            </w:r>
          </w:p>
        </w:tc>
        <w:tc>
          <w:tcPr>
            <w:tcW w:w="4535" w:type="dxa"/>
          </w:tcPr>
          <w:p w14:paraId="601B190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frontend/src/utils/ai.js</w:t>
            </w:r>
          </w:p>
        </w:tc>
      </w:tr>
      <w:tr w14:paraId="6F3A9455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  <w:shd w:val="clear" w:color="auto" w:fill="F8FAFD"/>
          </w:tcPr>
          <w:p w14:paraId="0064A0BF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设置页（服务商/地址/Key/模型/测试连接/历史）</w:t>
            </w:r>
          </w:p>
        </w:tc>
        <w:tc>
          <w:tcPr>
            <w:tcW w:w="4535" w:type="dxa"/>
            <w:shd w:val="clear" w:color="auto" w:fill="F8FAFD"/>
          </w:tcPr>
          <w:p w14:paraId="1BA5FF6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frontend/src/views/AiSettingsView.vue</w:t>
            </w:r>
          </w:p>
        </w:tc>
      </w:tr>
      <w:tr w14:paraId="403C9BC8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4535" w:type="dxa"/>
          </w:tcPr>
          <w:p w14:paraId="00B760A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场景 A 导入 AI 补全</w:t>
            </w:r>
          </w:p>
        </w:tc>
        <w:tc>
          <w:tcPr>
            <w:tcW w:w="4535" w:type="dxa"/>
          </w:tcPr>
          <w:p w14:paraId="1ED4647A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frontend/src/components/ImportDialog.vue</w:t>
            </w:r>
          </w:p>
        </w:tc>
      </w:tr>
      <w:tr w14:paraId="39D246BA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  <w:shd w:val="clear" w:color="auto" w:fill="F8FAFD"/>
          </w:tcPr>
          <w:p w14:paraId="08ECDDA5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场景 B 单题质量分析</w:t>
            </w:r>
          </w:p>
        </w:tc>
        <w:tc>
          <w:tcPr>
            <w:tcW w:w="4535" w:type="dxa"/>
            <w:shd w:val="clear" w:color="auto" w:fill="F8FAFD"/>
          </w:tcPr>
          <w:p w14:paraId="5232ABFB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frontend/src/views/QuestionsView.vue（analyze 函数）</w:t>
            </w:r>
          </w:p>
        </w:tc>
      </w:tr>
      <w:tr w14:paraId="44F8141F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</w:tcPr>
          <w:p w14:paraId="3C8664C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场景 C 学情报告</w:t>
            </w:r>
          </w:p>
        </w:tc>
        <w:tc>
          <w:tcPr>
            <w:tcW w:w="4535" w:type="dxa"/>
          </w:tcPr>
          <w:p w14:paraId="26BE2DD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frontend/src/views/DashboardView.vue</w:t>
            </w:r>
          </w:p>
        </w:tc>
      </w:tr>
      <w:tr w14:paraId="6297CDCA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  <w:shd w:val="clear" w:color="auto" w:fill="F8FAFD"/>
          </w:tcPr>
          <w:p w14:paraId="7EF38853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AI 配置说明文档</w:t>
            </w:r>
          </w:p>
        </w:tc>
        <w:tc>
          <w:tcPr>
            <w:tcW w:w="4535" w:type="dxa"/>
            <w:shd w:val="clear" w:color="auto" w:fill="F8FAFD"/>
          </w:tcPr>
          <w:p w14:paraId="242C0A8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backend/src/main/resources/AI-CONFIG.md（及 README “AI 分析”章节）</w:t>
            </w:r>
          </w:p>
        </w:tc>
      </w:tr>
      <w:tr w14:paraId="36EEE920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</w:tblPrEx>
        <w:trPr>
          <w:jc w:val="center"/>
        </w:trPr>
        <w:tc>
          <w:tcPr>
            <w:tcW w:w="4535" w:type="dxa"/>
          </w:tcPr>
          <w:p w14:paraId="31647DA2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判分规则（确定性，非 AI）</w:t>
            </w:r>
          </w:p>
        </w:tc>
        <w:tc>
          <w:tcPr>
            <w:tcW w:w="4535" w:type="dxa"/>
          </w:tcPr>
          <w:p w14:paraId="5EE22A58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backend/src/main/java/com/qbank/util/QuestionGrading.java（+ 单元测试）</w:t>
            </w:r>
          </w:p>
        </w:tc>
      </w:tr>
      <w:tr w14:paraId="48E578E4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  <w:shd w:val="clear" w:color="auto" w:fill="F8FAFD"/>
          </w:tcPr>
          <w:p w14:paraId="5E44D9DC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数据库脚本（含废弃 AI 表移除记录）</w:t>
            </w:r>
          </w:p>
        </w:tc>
        <w:tc>
          <w:tcPr>
            <w:tcW w:w="4535" w:type="dxa"/>
            <w:shd w:val="clear" w:color="auto" w:fill="F8FAFD"/>
          </w:tcPr>
          <w:p w14:paraId="581A1BAE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db/init.sql、db/upgrade.sql</w:t>
            </w:r>
          </w:p>
        </w:tc>
      </w:tr>
      <w:tr w14:paraId="08A4DA68">
        <w:tblPrEx>
          <w:tblBorders>
            <w:top w:val="single" w:color="17407A" w:sz="12" w:space="0"/>
            <w:left w:val="none" w:color="FFFFFF" w:sz="0" w:space="0"/>
            <w:bottom w:val="single" w:color="17407A" w:sz="12" w:space="0"/>
            <w:right w:val="none" w:color="FFFFFF" w:sz="0" w:space="0"/>
            <w:insideH w:val="single" w:color="C9D5E4" w:sz="4" w:space="0"/>
            <w:insideV w:val="none" w:color="FFFFFF" w:sz="0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jc w:val="center"/>
        </w:trPr>
        <w:tc>
          <w:tcPr>
            <w:tcW w:w="4535" w:type="dxa"/>
          </w:tcPr>
          <w:p w14:paraId="18CAF2C6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功能版本记录</w:t>
            </w:r>
          </w:p>
        </w:tc>
        <w:tc>
          <w:tcPr>
            <w:tcW w:w="4535" w:type="dxa"/>
          </w:tcPr>
          <w:p w14:paraId="46C0707B"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CHANGELOG.md、README.MD</w:t>
            </w:r>
          </w:p>
        </w:tc>
      </w:tr>
    </w:tbl>
    <w:p w14:paraId="5A1CB243">
      <w:pPr>
        <w:jc w:val="left"/>
      </w:pPr>
    </w:p>
    <w:sectPr>
      <w:footerReference r:id="rId5" w:type="default"/>
      <w:pgSz w:w="11906" w:h="16838"/>
      <w:pgMar w:top="1417" w:right="1361" w:bottom="1304" w:left="1474" w:header="85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黑体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E05A7">
    <w:pPr>
      <w:pStyle w:val="24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 / 共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 NUMPAGES 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B1CE5"/>
    <w:multiLevelType w:val="multilevel"/>
    <w:tmpl w:val="BFEB1CE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0">
      <w:start w:val="1"/>
      <w:numFmt w:val="decimal"/>
      <w:lvlText w:val="%3."/>
      <w:lvlJc w:val="left"/>
      <w:pPr>
        <w:ind w:left="1080" w:hanging="360"/>
      </w:pPr>
    </w:lvl>
    <w:lvl w:ilvl="3" w:tentative="0">
      <w:start w:val="1"/>
      <w:numFmt w:val="decimal"/>
      <w:lvlText w:val="%4."/>
      <w:lvlJc w:val="left"/>
      <w:pPr>
        <w:ind w:left="1440" w:hanging="360"/>
      </w:pPr>
    </w:lvl>
    <w:lvl w:ilvl="4" w:tentative="0">
      <w:start w:val="1"/>
      <w:numFmt w:val="decimal"/>
      <w:lvlText w:val="%5."/>
      <w:lvlJc w:val="left"/>
      <w:pPr>
        <w:ind w:left="1800" w:hanging="360"/>
      </w:pPr>
    </w:lvl>
    <w:lvl w:ilvl="5" w:tentative="0">
      <w:start w:val="1"/>
      <w:numFmt w:val="decimal"/>
      <w:lvlText w:val="%6.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decimal"/>
      <w:lvlText w:val="%8."/>
      <w:lvlJc w:val="left"/>
      <w:pPr>
        <w:ind w:left="2880" w:hanging="360"/>
      </w:pPr>
    </w:lvl>
    <w:lvl w:ilvl="8" w:tentative="0">
      <w:start w:val="1"/>
      <w:numFmt w:val="decimal"/>
      <w:lvlText w:val="%9."/>
      <w:lvlJc w:val="left"/>
      <w:pPr>
        <w:ind w:left="3240" w:hanging="360"/>
      </w:pPr>
    </w:lvl>
  </w:abstractNum>
  <w:abstractNum w:abstractNumId="1">
    <w:nsid w:val="EFDAB8DD"/>
    <w:multiLevelType w:val="singleLevel"/>
    <w:tmpl w:val="EFDAB8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6FCF075A"/>
    <w:multiLevelType w:val="multilevel"/>
    <w:tmpl w:val="6FCF075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720" w:hanging="360"/>
      </w:pPr>
    </w:lvl>
    <w:lvl w:ilvl="2" w:tentative="0">
      <w:start w:val="1"/>
      <w:numFmt w:val="decimal"/>
      <w:lvlText w:val="%3."/>
      <w:lvlJc w:val="left"/>
      <w:pPr>
        <w:ind w:left="1080" w:hanging="360"/>
      </w:pPr>
    </w:lvl>
    <w:lvl w:ilvl="3" w:tentative="0">
      <w:start w:val="1"/>
      <w:numFmt w:val="decimal"/>
      <w:lvlText w:val="%4."/>
      <w:lvlJc w:val="left"/>
      <w:pPr>
        <w:ind w:left="1440" w:hanging="360"/>
      </w:pPr>
    </w:lvl>
    <w:lvl w:ilvl="4" w:tentative="0">
      <w:start w:val="1"/>
      <w:numFmt w:val="decimal"/>
      <w:lvlText w:val="%5."/>
      <w:lvlJc w:val="left"/>
      <w:pPr>
        <w:ind w:left="1800" w:hanging="360"/>
      </w:pPr>
    </w:lvl>
    <w:lvl w:ilvl="5" w:tentative="0">
      <w:start w:val="1"/>
      <w:numFmt w:val="decimal"/>
      <w:lvlText w:val="%6.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decimal"/>
      <w:lvlText w:val="%8."/>
      <w:lvlJc w:val="left"/>
      <w:pPr>
        <w:ind w:left="2880" w:hanging="360"/>
      </w:pPr>
    </w:lvl>
    <w:lvl w:ilvl="8" w:tentative="0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BDF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17407A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80" w:line="312" w:lineRule="auto"/>
      <w:outlineLvl w:val="1"/>
    </w:pPr>
    <w:rPr>
      <w:rFonts w:asciiTheme="majorHAnsi" w:hAnsiTheme="majorHAnsi" w:eastAsiaTheme="majorEastAsia" w:cstheme="majorBidi"/>
      <w:b/>
      <w:bCs/>
      <w:color w:val="23527C"/>
      <w:sz w:val="24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60" w:line="312" w:lineRule="auto"/>
      <w:outlineLvl w:val="2"/>
    </w:pPr>
    <w:rPr>
      <w:rFonts w:asciiTheme="majorHAnsi" w:hAnsiTheme="majorHAnsi" w:eastAsiaTheme="majorEastAsia" w:cstheme="majorBidi"/>
      <w:b/>
      <w:bCs/>
      <w:color w:val="23527C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HanHaocheng</cp:lastModifiedBy>
  <dcterms:modified xsi:type="dcterms:W3CDTF">2026-09-10T20:03:47Z</dcterms:modified>
  <dc:title>智能题库管理系统 · AI 技术应用说明（专项文档）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74E4D1A24182B12DA39CA26A34AD984D_42</vt:lpwstr>
  </property>
</Properties>
</file>